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A60" w:rsidRDefault="00084A6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Title"/>
        <w:jc w:val="center"/>
      </w:pPr>
      <w:r>
        <w:t>ФЕДЕРАЛЬНАЯ СЛУЖБА ВОЙСК НАЦИОНАЛЬНОЙ ГВАРДИИ</w:t>
      </w:r>
    </w:p>
    <w:p w:rsidR="00084A60" w:rsidRDefault="00084A60">
      <w:pPr>
        <w:pStyle w:val="ConsPlusTitle"/>
        <w:jc w:val="center"/>
      </w:pPr>
      <w:r>
        <w:t>РОССИЙСКОЙ ФЕДЕРАЦИИ</w:t>
      </w:r>
    </w:p>
    <w:p w:rsidR="00084A60" w:rsidRDefault="00084A60">
      <w:pPr>
        <w:pStyle w:val="ConsPlusTitle"/>
        <w:jc w:val="center"/>
      </w:pPr>
    </w:p>
    <w:p w:rsidR="00084A60" w:rsidRDefault="00084A60">
      <w:pPr>
        <w:pStyle w:val="ConsPlusTitle"/>
        <w:jc w:val="center"/>
      </w:pPr>
      <w:r>
        <w:t>ПРИКАЗ</w:t>
      </w:r>
    </w:p>
    <w:p w:rsidR="00084A60" w:rsidRDefault="00084A60">
      <w:pPr>
        <w:pStyle w:val="ConsPlusTitle"/>
        <w:jc w:val="center"/>
      </w:pPr>
      <w:r>
        <w:t>от 15 февраля 2021 г. N 45</w:t>
      </w:r>
    </w:p>
    <w:p w:rsidR="00084A60" w:rsidRDefault="00084A60">
      <w:pPr>
        <w:pStyle w:val="ConsPlusTitle"/>
        <w:jc w:val="center"/>
      </w:pPr>
    </w:p>
    <w:p w:rsidR="00084A60" w:rsidRDefault="00084A60">
      <w:pPr>
        <w:pStyle w:val="ConsPlusTitle"/>
        <w:jc w:val="center"/>
      </w:pPr>
      <w:r>
        <w:t>ОБ УТВЕРЖДЕНИИ ПОРЯДКА</w:t>
      </w:r>
    </w:p>
    <w:p w:rsidR="00084A60" w:rsidRDefault="00084A60">
      <w:pPr>
        <w:pStyle w:val="ConsPlusTitle"/>
        <w:jc w:val="center"/>
      </w:pPr>
      <w:r>
        <w:t>ОПРЕДЕЛЕНИЯ НАЧАЛЬНОЙ (МАКСИМАЛЬНОЙ) ЦЕНЫ КОНТРАКТА,</w:t>
      </w:r>
    </w:p>
    <w:p w:rsidR="00084A60" w:rsidRDefault="00084A60">
      <w:pPr>
        <w:pStyle w:val="ConsPlusTitle"/>
        <w:jc w:val="center"/>
      </w:pPr>
      <w:r>
        <w:t>ЦЕНЫ КОНТРАКТА, ЗАКЛЮЧАЕМОГО С ЕДИНСТВЕННЫМ ПОСТАВЩИКОМ</w:t>
      </w:r>
    </w:p>
    <w:p w:rsidR="00084A60" w:rsidRDefault="00084A60">
      <w:pPr>
        <w:pStyle w:val="ConsPlusTitle"/>
        <w:jc w:val="center"/>
      </w:pPr>
      <w:r>
        <w:t>(ПОДРЯДЧИКОМ, ИСПОЛНИТЕЛЕМ), НАЧАЛЬНОЙ ЦЕНЫ ЕДИНИЦЫ ТОВАРА,</w:t>
      </w:r>
    </w:p>
    <w:p w:rsidR="00084A60" w:rsidRDefault="00084A60">
      <w:pPr>
        <w:pStyle w:val="ConsPlusTitle"/>
        <w:jc w:val="center"/>
      </w:pPr>
      <w:r>
        <w:t>РАБОТЫ, УСЛУГИ ПРИ ОСУЩЕСТВЛЕНИИ ЗАКУПОК ОХРАННЫХ УСЛУГ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>
        <w:r>
          <w:rPr>
            <w:color w:val="0000FF"/>
          </w:rPr>
          <w:t>пунктом 1</w:t>
        </w:r>
      </w:hyperlink>
      <w:r>
        <w:t xml:space="preserve"> постановления Правительства Российской Федерации от 8 мая 2020 г. N 645 "О федеральном органе исполнительной власти, уполномоченном на установление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охранных услуг" (Собрание законодательства Российской Федерации, 2020, N 20, ст. 3169) приказываю:</w:t>
      </w:r>
      <w:proofErr w:type="gramEnd"/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0">
        <w:r>
          <w:rPr>
            <w:color w:val="0000FF"/>
          </w:rPr>
          <w:t>Порядок</w:t>
        </w:r>
      </w:hyperlink>
      <w:r>
        <w:t xml:space="preserve">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охранных услуг (далее - Порядок).</w:t>
      </w:r>
      <w:proofErr w:type="gramEnd"/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2. Настоящий приказ не применяется в отношении закупок охранных услуг для обеспечения государственных и муниципальных нужд, </w:t>
      </w:r>
      <w:proofErr w:type="gramStart"/>
      <w:r>
        <w:t>извещения</w:t>
      </w:r>
      <w:proofErr w:type="gramEnd"/>
      <w:r>
        <w:t xml:space="preserve"> об осуществлении которых размещены в единой информационной системе в сфере закупок либо приглашения принять участие в которых направлены до дня вступления в силу настоящего приказа.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3. Начальнику Главного управления государственного контроля и лицензионно-разрешительной работы Федеральной службы войск национальной гвардии Российской Федерации, командующим округами войск национальной гвардии Российской Федерации, начальникам территориальных органов Росгвардии организовать изучение </w:t>
      </w:r>
      <w:hyperlink w:anchor="P40">
        <w:r>
          <w:rPr>
            <w:color w:val="0000FF"/>
          </w:rPr>
          <w:t>Порядка</w:t>
        </w:r>
      </w:hyperlink>
      <w:r>
        <w:t>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right"/>
      </w:pPr>
      <w:r>
        <w:t>Директор Федеральной службы</w:t>
      </w:r>
    </w:p>
    <w:p w:rsidR="00084A60" w:rsidRDefault="00084A60">
      <w:pPr>
        <w:pStyle w:val="ConsPlusNormal"/>
        <w:jc w:val="right"/>
      </w:pPr>
      <w:r>
        <w:t>войск национальной гвардии</w:t>
      </w:r>
    </w:p>
    <w:p w:rsidR="00084A60" w:rsidRDefault="00084A60">
      <w:pPr>
        <w:pStyle w:val="ConsPlusNormal"/>
        <w:jc w:val="right"/>
      </w:pPr>
      <w:r>
        <w:t>Российской Федерации -</w:t>
      </w:r>
    </w:p>
    <w:p w:rsidR="00084A60" w:rsidRDefault="00084A60">
      <w:pPr>
        <w:pStyle w:val="ConsPlusNormal"/>
        <w:jc w:val="right"/>
      </w:pPr>
      <w:r>
        <w:t>главнокомандующий войсками</w:t>
      </w:r>
    </w:p>
    <w:p w:rsidR="00084A60" w:rsidRDefault="00084A60">
      <w:pPr>
        <w:pStyle w:val="ConsPlusNormal"/>
        <w:jc w:val="right"/>
      </w:pPr>
      <w:r>
        <w:t>национальной гвардии</w:t>
      </w:r>
    </w:p>
    <w:p w:rsidR="00084A60" w:rsidRDefault="00084A60">
      <w:pPr>
        <w:pStyle w:val="ConsPlusNormal"/>
        <w:jc w:val="right"/>
      </w:pPr>
      <w:r>
        <w:t>Российской Федерации</w:t>
      </w:r>
    </w:p>
    <w:p w:rsidR="00084A60" w:rsidRDefault="00084A60">
      <w:pPr>
        <w:pStyle w:val="ConsPlusNormal"/>
        <w:jc w:val="right"/>
      </w:pPr>
      <w:r>
        <w:t>генерал армии</w:t>
      </w:r>
    </w:p>
    <w:p w:rsidR="00084A60" w:rsidRDefault="00084A60">
      <w:pPr>
        <w:pStyle w:val="ConsPlusNormal"/>
        <w:jc w:val="right"/>
      </w:pPr>
      <w:r>
        <w:t>В.ЗОЛОТОВ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right"/>
        <w:outlineLvl w:val="0"/>
      </w:pPr>
      <w:r>
        <w:t>Утвержден</w:t>
      </w:r>
    </w:p>
    <w:p w:rsidR="00084A60" w:rsidRDefault="00084A60">
      <w:pPr>
        <w:pStyle w:val="ConsPlusNormal"/>
        <w:jc w:val="right"/>
      </w:pPr>
      <w:r>
        <w:t>приказом Федеральной службы</w:t>
      </w:r>
    </w:p>
    <w:p w:rsidR="00084A60" w:rsidRDefault="00084A60">
      <w:pPr>
        <w:pStyle w:val="ConsPlusNormal"/>
        <w:jc w:val="right"/>
      </w:pPr>
      <w:r>
        <w:t>войск национальной гвардии</w:t>
      </w:r>
    </w:p>
    <w:p w:rsidR="00084A60" w:rsidRDefault="00084A60">
      <w:pPr>
        <w:pStyle w:val="ConsPlusNormal"/>
        <w:jc w:val="right"/>
      </w:pPr>
      <w:r>
        <w:t>Российской Федерации</w:t>
      </w:r>
    </w:p>
    <w:p w:rsidR="00084A60" w:rsidRDefault="00084A60">
      <w:pPr>
        <w:pStyle w:val="ConsPlusNormal"/>
        <w:jc w:val="right"/>
      </w:pPr>
      <w:r>
        <w:t>от 15.02.2021 N 45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Title"/>
        <w:jc w:val="center"/>
      </w:pPr>
      <w:bookmarkStart w:id="1" w:name="P40"/>
      <w:bookmarkEnd w:id="1"/>
      <w:r>
        <w:t>ПОРЯДОК</w:t>
      </w:r>
    </w:p>
    <w:p w:rsidR="00084A60" w:rsidRDefault="00084A60">
      <w:pPr>
        <w:pStyle w:val="ConsPlusTitle"/>
        <w:jc w:val="center"/>
      </w:pPr>
      <w:r>
        <w:t>ОПРЕДЕЛЕНИЯ НАЧАЛЬНОЙ (МАКСИМАЛЬНОЙ) ЦЕНЫ КОНТРАКТА,</w:t>
      </w:r>
    </w:p>
    <w:p w:rsidR="00084A60" w:rsidRDefault="00084A60">
      <w:pPr>
        <w:pStyle w:val="ConsPlusTitle"/>
        <w:jc w:val="center"/>
      </w:pPr>
      <w:r>
        <w:t>ЦЕНЫ КОНТРАКТА, ЗАКЛЮЧАЕМОГО С ЕДИНСТВЕННЫМ ПОСТАВЩИКОМ</w:t>
      </w:r>
    </w:p>
    <w:p w:rsidR="00084A60" w:rsidRDefault="00084A60">
      <w:pPr>
        <w:pStyle w:val="ConsPlusTitle"/>
        <w:jc w:val="center"/>
      </w:pPr>
      <w:r>
        <w:t>(ПОДРЯДЧИКОМ, ИСПОЛНИТЕЛЕМ), НАЧАЛЬНОЙ ЦЕНЫ ЕДИНИЦЫ ТОВАРА,</w:t>
      </w:r>
    </w:p>
    <w:p w:rsidR="00084A60" w:rsidRDefault="00084A60">
      <w:pPr>
        <w:pStyle w:val="ConsPlusTitle"/>
        <w:jc w:val="center"/>
      </w:pPr>
      <w:r>
        <w:t>РАБОТЫ, УСЛУГИ ПРИ ОСУЩЕСТВЛЕНИИ ЗАКУПОК ОХРАННЫХ УСЛУГ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Title"/>
        <w:ind w:firstLine="540"/>
        <w:jc w:val="both"/>
        <w:outlineLvl w:val="1"/>
      </w:pPr>
      <w:r>
        <w:t>I. Общие положения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устанавливает единые правила расчета заказчиком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охранных услуг (далее - НМЦК), за исключением закупок охранных услуг у единственного поставщика (подрядчика, исполнителя) в случае, предусмотренном </w:t>
      </w:r>
      <w:hyperlink r:id="rId6">
        <w:r>
          <w:rPr>
            <w:color w:val="0000FF"/>
          </w:rPr>
          <w:t>пунктом 2 части 1 статьи 93</w:t>
        </w:r>
      </w:hyperlink>
      <w:r>
        <w:t xml:space="preserve"> Федерального закона от 5 апреля 2013 г. N 44-ФЗ</w:t>
      </w:r>
      <w:proofErr w:type="gramEnd"/>
      <w:r>
        <w:t xml:space="preserve">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2018, N 53, ст. 8444), при котором настоящий Порядок может не применяться.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Title"/>
        <w:ind w:firstLine="540"/>
        <w:jc w:val="both"/>
        <w:outlineLvl w:val="1"/>
      </w:pPr>
      <w:r>
        <w:t>II. Определение НМЦК при осуществлении закупок охранных услуг частных охранных организаций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bookmarkStart w:id="2" w:name="P52"/>
      <w:bookmarkEnd w:id="2"/>
      <w:r>
        <w:t>2. При закупке охранных услуг для объектов, за исключением объектов, на которые частная охранная деятельность не распространяется &lt;1&gt;, НМЦК определяется по формуле: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&lt;1&gt; </w:t>
      </w:r>
      <w:hyperlink r:id="rId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14 августа 1992 г. N 587 "Вопросы частной детективной (сыскной) и частной охранной деятельности" (Собрание актов Президента и Правительства Российской Федерации, 1992, N 8, ст. 506; 2020, N 30, ст. 4898). Далее - "постановление N 587".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4191000" cy="5029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и</w:t>
      </w:r>
      <w:r>
        <w:t xml:space="preserve"> - прямые затраты на часовую работу </w:t>
      </w:r>
      <w:proofErr w:type="gramStart"/>
      <w:r>
        <w:t>и-го</w:t>
      </w:r>
      <w:proofErr w:type="gramEnd"/>
      <w:r>
        <w:t xml:space="preserve"> поста охраны в составе одного работника в смене в рублях, определенные в соответствии с </w:t>
      </w:r>
      <w:hyperlink w:anchor="P88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и</w:t>
      </w:r>
      <w:r>
        <w:t xml:space="preserve"> - количество часов работы работника по контракту на и-ом посту охраны;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КР</w:t>
      </w:r>
      <w:proofErr w:type="gramEnd"/>
      <w:r>
        <w:t xml:space="preserve"> - косвенные расходы. Устанавливаются в размере 20% от общей суммы всех прямых затрат и рассчитываются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14"/>
        </w:rPr>
        <w:drawing>
          <wp:inline distT="0" distB="0" distL="0" distR="0">
            <wp:extent cx="1760220" cy="32512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proofErr w:type="gramStart"/>
      <w:r>
        <w:t>П</w:t>
      </w:r>
      <w:proofErr w:type="gramEnd"/>
      <w:r>
        <w:t xml:space="preserve"> - прибыль. Определяется на основании среднеотраслевых показателей рентабельности продукции (услуги) за предшествующий год по данным ФНС России (в случае отсутствия официальных сведений по указанному показателю в рассматриваемой отрасли принимается равной 5%) и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14"/>
        </w:rPr>
        <w:lastRenderedPageBreak/>
        <w:drawing>
          <wp:inline distT="0" distB="0" distL="0" distR="0">
            <wp:extent cx="2232025" cy="32512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и - идентификатор или номер поста охраны по контракту, в отношении которого производится расчет прямых затрат;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n - количество требуемых постов охраны по контракту. По умолчанию для расчета принимается, что на одном посту охраны работает один работник в смене, в случае наличия на одном посту охраны двух и более работников в смене расчет производится для каждого работника отдельно. Максимальная продолжительность режима работы поста охраны 24 часа, минимальная - 3 часа;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I</w:t>
      </w:r>
      <w:proofErr w:type="gramEnd"/>
      <w:r>
        <w:rPr>
          <w:vertAlign w:val="subscript"/>
        </w:rPr>
        <w:t>инфл</w:t>
      </w:r>
      <w:r>
        <w:t xml:space="preserve"> - индекс потребительских цен на прочие услуги, принимаемый в соответствии с публикуемыми Минэкономразвития России прогнозами социально-экономического развития Российской Федерации &lt;1&gt;.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1">
        <w:r>
          <w:rPr>
            <w:color w:val="0000FF"/>
          </w:rPr>
          <w:t>Правила</w:t>
        </w:r>
      </w:hyperlink>
      <w:r>
        <w:t xml:space="preserve">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период, утвержденные постановлением Правительства Российской Федерации от 14 ноября 2015 г. N 1234 (Собрание законодательства Российской Федерации, 2015, N 47, ст. 6598; 2019, N 21, ст. 2575).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 xml:space="preserve">В случае если срок действия контракта превышает срок прогноза, индекс потребительских цен для каждого года срока действия контракта, не указанного в прогнозе, принимается </w:t>
      </w:r>
      <w:proofErr w:type="gramStart"/>
      <w:r>
        <w:t>равным</w:t>
      </w:r>
      <w:proofErr w:type="gramEnd"/>
      <w:r>
        <w:t xml:space="preserve"> индексу потребительских цен, указанному для последнего года прогноза.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I</w:t>
      </w:r>
      <w:proofErr w:type="gramEnd"/>
      <w:r>
        <w:rPr>
          <w:vertAlign w:val="subscript"/>
        </w:rPr>
        <w:t>инфл</w:t>
      </w:r>
      <w:r>
        <w:t xml:space="preserve"> рассчитывается как среднее арифметическое между индексами потребительских цен на каждый год срока действия контракта.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В случае если расчет НМЦК и начало срока действия контракта приходятся на один год, то для этого года срока действия контракта значение I</w:t>
      </w:r>
      <w:r>
        <w:rPr>
          <w:vertAlign w:val="subscript"/>
        </w:rPr>
        <w:t>инфл</w:t>
      </w:r>
      <w:r>
        <w:t xml:space="preserve"> принимается </w:t>
      </w:r>
      <w:proofErr w:type="gramStart"/>
      <w:r>
        <w:t>равным</w:t>
      </w:r>
      <w:proofErr w:type="gramEnd"/>
      <w:r>
        <w:t xml:space="preserve"> единице.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НДС - налог на добавленную стоимость &lt;2&gt;;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О</w:t>
      </w:r>
      <w:proofErr w:type="gramEnd"/>
      <w:r>
        <w:t xml:space="preserve">пределяется в соответствии со </w:t>
      </w:r>
      <w:hyperlink r:id="rId12">
        <w:r>
          <w:rPr>
            <w:color w:val="0000FF"/>
          </w:rPr>
          <w:t>статьей 164</w:t>
        </w:r>
      </w:hyperlink>
      <w:r>
        <w:t xml:space="preserve"> Налогового кодекса Российской Федерации (Собрание законодательства Российской Федерации, 2000, N 32, ст. 3340; 2020, N 29, ст. 4505).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Показатели С</w:t>
      </w:r>
      <w:r>
        <w:rPr>
          <w:vertAlign w:val="subscript"/>
        </w:rPr>
        <w:t>ТСО</w:t>
      </w:r>
      <w:r>
        <w:t xml:space="preserve"> и С</w:t>
      </w:r>
      <w:r>
        <w:rPr>
          <w:vertAlign w:val="subscript"/>
        </w:rPr>
        <w:t>ЗЖ</w:t>
      </w:r>
      <w:r>
        <w:t xml:space="preserve"> включаются в формулу определения НМЦК, предусмотренную </w:t>
      </w:r>
      <w:hyperlink w:anchor="P52">
        <w:r>
          <w:rPr>
            <w:color w:val="0000FF"/>
          </w:rPr>
          <w:t>пунктом 2</w:t>
        </w:r>
      </w:hyperlink>
      <w:r>
        <w:t xml:space="preserve"> настоящего Порядка, в случае наличия потребности заказчика в соответствующей дополнительной услуге, при этом: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ТСО</w:t>
      </w:r>
      <w:r>
        <w:t xml:space="preserve"> - осуществление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 &lt;1&gt;, и (или) принятие соответствующих мер реагирования на их сигнальную информацию. Определяются в соответствии с </w:t>
      </w:r>
      <w:hyperlink w:anchor="P166">
        <w:r>
          <w:rPr>
            <w:color w:val="0000FF"/>
          </w:rPr>
          <w:t>подпунктом 6.1 пункта 6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июня 2011 г. N 498 "О некоторых вопросах осуществления частной детективной (сыскной) и частной охранной деятельности" (Собрание законодательства Российской Федерации, 2011, N 26, ст. 3820; 2019, N </w:t>
      </w:r>
      <w:r>
        <w:lastRenderedPageBreak/>
        <w:t>36, ст. 5051).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С</w:t>
      </w:r>
      <w:r>
        <w:rPr>
          <w:vertAlign w:val="subscript"/>
        </w:rPr>
        <w:t>ЗЖ</w:t>
      </w:r>
      <w:r>
        <w:t xml:space="preserve"> - услуги по защите жизни и здоровья граждан. Определяются в соответствии с </w:t>
      </w:r>
      <w:hyperlink w:anchor="P182">
        <w:r>
          <w:rPr>
            <w:color w:val="0000FF"/>
          </w:rPr>
          <w:t>подпунктом 6.2 пункта 6</w:t>
        </w:r>
      </w:hyperlink>
      <w:r>
        <w:t xml:space="preserve"> настоящего Порядка без учета НДС.</w:t>
      </w:r>
    </w:p>
    <w:p w:rsidR="00084A60" w:rsidRDefault="00084A60">
      <w:pPr>
        <w:pStyle w:val="ConsPlusNormal"/>
        <w:spacing w:before="220"/>
        <w:ind w:firstLine="540"/>
        <w:jc w:val="both"/>
      </w:pPr>
      <w:bookmarkStart w:id="3" w:name="P88"/>
      <w:bookmarkEnd w:id="3"/>
      <w:r>
        <w:t>3. Прямые затраты определяются как общая стоимость часа работы одного работника на одном посту охраны с учетом корректирующих коэффициентов, предусмотренных настоящим Порядком.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4. Для частных охранных организаций прямые затраты формируются в отношении следующих видов охранных услуг: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4.1.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</w:t>
      </w:r>
      <w:hyperlink w:anchor="P92">
        <w:r>
          <w:rPr>
            <w:color w:val="0000FF"/>
          </w:rPr>
          <w:t>подпунктом 4.3 пункта 4</w:t>
        </w:r>
      </w:hyperlink>
      <w:r>
        <w:t xml:space="preserve"> настоящего Порядка.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4.2. Обеспечение порядка в местах проведения массовых мероприятий.</w:t>
      </w:r>
    </w:p>
    <w:p w:rsidR="00084A60" w:rsidRDefault="00084A60">
      <w:pPr>
        <w:pStyle w:val="ConsPlusNormal"/>
        <w:spacing w:before="220"/>
        <w:ind w:firstLine="540"/>
        <w:jc w:val="both"/>
      </w:pPr>
      <w:bookmarkStart w:id="4" w:name="P92"/>
      <w:bookmarkEnd w:id="4"/>
      <w:r>
        <w:t xml:space="preserve">4.3. Обеспечение внутриобъектового и пропускного режимов на объектах, за исключением объектов, предусмотренных </w:t>
      </w:r>
      <w:hyperlink w:anchor="P93">
        <w:r>
          <w:rPr>
            <w:color w:val="0000FF"/>
          </w:rPr>
          <w:t>подпунктом 4.4 пункта 4</w:t>
        </w:r>
      </w:hyperlink>
      <w:r>
        <w:t xml:space="preserve"> настоящего Порядка.</w:t>
      </w:r>
    </w:p>
    <w:p w:rsidR="00084A60" w:rsidRDefault="00084A60">
      <w:pPr>
        <w:pStyle w:val="ConsPlusNormal"/>
        <w:spacing w:before="220"/>
        <w:ind w:firstLine="540"/>
        <w:jc w:val="both"/>
      </w:pPr>
      <w:bookmarkStart w:id="5" w:name="P93"/>
      <w:bookmarkEnd w:id="5"/>
      <w:r>
        <w:t xml:space="preserve">4.4. </w:t>
      </w:r>
      <w:proofErr w:type="gramStart"/>
      <w:r>
        <w:t xml:space="preserve">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</w:t>
      </w:r>
      <w:hyperlink r:id="rId14">
        <w:r>
          <w:rPr>
            <w:color w:val="0000FF"/>
          </w:rPr>
          <w:t>частью 3 статьи 11</w:t>
        </w:r>
      </w:hyperlink>
      <w:r>
        <w:t xml:space="preserve"> Закона Российской Федерации от 11 марта 1992 г. N 2487-1 "О частной детективной и охранной деятельности в Российской Федерации" (Ведомости Съезда народных депутатов Российской Федерации и Верховного</w:t>
      </w:r>
      <w:proofErr w:type="gramEnd"/>
      <w:r>
        <w:t xml:space="preserve"> </w:t>
      </w:r>
      <w:proofErr w:type="gramStart"/>
      <w:r>
        <w:t>Совета Российской Федерации, 1992, N 17, ст. 888; Собрание законодательства Российской Федерации, 2016, N 27, ст. 4160).</w:t>
      </w:r>
      <w:proofErr w:type="gramEnd"/>
    </w:p>
    <w:p w:rsidR="00084A60" w:rsidRDefault="00084A60">
      <w:pPr>
        <w:pStyle w:val="ConsPlusNormal"/>
        <w:spacing w:before="220"/>
        <w:ind w:firstLine="540"/>
        <w:jc w:val="both"/>
      </w:pPr>
      <w:bookmarkStart w:id="6" w:name="P94"/>
      <w:bookmarkEnd w:id="6"/>
      <w:r>
        <w:t>5. Расчет прямых затрат производится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С</w:t>
      </w:r>
      <w:r>
        <w:rPr>
          <w:vertAlign w:val="subscript"/>
        </w:rPr>
        <w:t>и</w:t>
      </w:r>
      <w:r>
        <w:t xml:space="preserve"> = (БЗП + Д</w:t>
      </w:r>
      <w:r>
        <w:rPr>
          <w:vertAlign w:val="subscript"/>
        </w:rPr>
        <w:t>н</w:t>
      </w:r>
      <w:r>
        <w:t xml:space="preserve"> + Д</w:t>
      </w:r>
      <w:r>
        <w:rPr>
          <w:vertAlign w:val="subscript"/>
        </w:rPr>
        <w:t>вп</w:t>
      </w:r>
      <w:r>
        <w:t xml:space="preserve"> + Д</w:t>
      </w:r>
      <w:r>
        <w:rPr>
          <w:vertAlign w:val="subscript"/>
        </w:rPr>
        <w:t>рк</w:t>
      </w:r>
      <w:r>
        <w:t xml:space="preserve"> + РО + </w:t>
      </w:r>
      <w:proofErr w:type="gramStart"/>
      <w:r>
        <w:t>СВ</w:t>
      </w:r>
      <w:proofErr w:type="gramEnd"/>
      <w:r>
        <w:t>) * U,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БЗП - базовая заработная плата работника (рублей/час), которая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22"/>
        </w:rPr>
        <w:drawing>
          <wp:inline distT="0" distB="0" distL="0" distR="0">
            <wp:extent cx="1079500" cy="42989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МРОТ - минимальный </w:t>
      </w:r>
      <w:proofErr w:type="gramStart"/>
      <w:r>
        <w:t>размер оплаты труда</w:t>
      </w:r>
      <w:proofErr w:type="gramEnd"/>
      <w:r>
        <w:t xml:space="preserve">, установленный на дату расчета НМЦК в соответствии со </w:t>
      </w:r>
      <w:hyperlink r:id="rId16">
        <w:r>
          <w:rPr>
            <w:color w:val="0000FF"/>
          </w:rPr>
          <w:t>статьей 133</w:t>
        </w:r>
      </w:hyperlink>
      <w:r>
        <w:t xml:space="preserve"> Трудового кодекса Российской Федерации (Собрание законодательства Российской Федерации, 2002, N 1, ст. 3; 2007, N 17, ст. 1930). При отсутствии на территории соответствующего субъекта Российской Федерации регионального соглашения, заключенного в рамках реализации </w:t>
      </w:r>
      <w:hyperlink r:id="rId17">
        <w:r>
          <w:rPr>
            <w:color w:val="0000FF"/>
          </w:rPr>
          <w:t>статьи 47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 xml:space="preserve">2014, N 48, ст. 6639), используется значение МРОТ в соответствии с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19 июня 2000 г. N 82-ФЗ "О минимальном размере оплаты труда" (Собрание законодательства Российской Федерации, 2000, N 26, ст. 2729; 2021, N 1, ст. 12);</w:t>
      </w:r>
      <w:proofErr w:type="gramEnd"/>
    </w:p>
    <w:p w:rsidR="00084A60" w:rsidRDefault="00084A60">
      <w:pPr>
        <w:pStyle w:val="ConsPlusNormal"/>
        <w:spacing w:before="220"/>
        <w:ind w:firstLine="540"/>
        <w:jc w:val="both"/>
      </w:pPr>
      <w:r>
        <w:lastRenderedPageBreak/>
        <w:t xml:space="preserve">СНР - среднемесячное количество рабочих часов одного работника поста охраны. </w:t>
      </w:r>
      <w:proofErr w:type="gramStart"/>
      <w:r>
        <w:t>Определяется по производственному календарю (для 40-часовой пятидневной рабочей недели) на год, в котором производится расчет НМЦК;</w:t>
      </w:r>
      <w:proofErr w:type="gramEnd"/>
    </w:p>
    <w:p w:rsidR="00084A60" w:rsidRDefault="00084A60">
      <w:pPr>
        <w:pStyle w:val="ConsPlusNormal"/>
        <w:spacing w:before="220"/>
        <w:ind w:firstLine="540"/>
        <w:jc w:val="both"/>
      </w:pPr>
      <w:r>
        <w:t>Д</w:t>
      </w:r>
      <w:r>
        <w:rPr>
          <w:vertAlign w:val="subscript"/>
        </w:rPr>
        <w:t>н</w:t>
      </w:r>
      <w:r>
        <w:t xml:space="preserve"> - доплата за работу в ночное время, порядок и размер которой установлены Правительством Российской Федерации &lt;1&gt;. Определяется по производственному календарю (для 40-часовой пятидневной рабочей недели) на год, в котором производится расчет НМЦК. Не применяется в случае </w:t>
      </w:r>
      <w:proofErr w:type="gramStart"/>
      <w:r>
        <w:t>отсутствия режима работы поста охраны</w:t>
      </w:r>
      <w:proofErr w:type="gramEnd"/>
      <w:r>
        <w:t xml:space="preserve"> в ночное время;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22 июля 2008 г. N 554 "О минимальном размере повышения оплаты труда за работу в ночное время" (Собрание законодательства Российской Федерации, 2008, N 30, ст. 3640).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Д</w:t>
      </w:r>
      <w:r>
        <w:rPr>
          <w:vertAlign w:val="subscript"/>
        </w:rPr>
        <w:t>вп</w:t>
      </w:r>
      <w:r>
        <w:t xml:space="preserve"> - доплата за работу в выходные и праздничные дни, порядок и размер которой установлены </w:t>
      </w:r>
      <w:hyperlink r:id="rId20">
        <w:r>
          <w:rPr>
            <w:color w:val="0000FF"/>
          </w:rPr>
          <w:t>статьей 153</w:t>
        </w:r>
      </w:hyperlink>
      <w:r>
        <w:t xml:space="preserve"> Трудового кодекса Российской Федерации (Собрание законодательства Российской Федерации, 2002, N 1, ст. 3; 2017, N 25, ст. 3594). Определяется по производственному календарю (для 40-часовой пятидневной рабочей недели) на год, в котором производится расчет НМЦК. Не применяется в случае </w:t>
      </w:r>
      <w:proofErr w:type="gramStart"/>
      <w:r>
        <w:t>отсутствия режима работы поста охраны</w:t>
      </w:r>
      <w:proofErr w:type="gramEnd"/>
      <w:r>
        <w:t xml:space="preserve"> в выходные и праздничные дни;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Д</w:t>
      </w:r>
      <w:r>
        <w:rPr>
          <w:vertAlign w:val="subscript"/>
        </w:rPr>
        <w:t>рк</w:t>
      </w:r>
      <w:r>
        <w:t xml:space="preserve"> - доплата за работу в районах Крайнего Севера и приравненных к ним местностях, порядок и размер которой установлены </w:t>
      </w:r>
      <w:hyperlink r:id="rId21">
        <w:r>
          <w:rPr>
            <w:color w:val="0000FF"/>
          </w:rPr>
          <w:t>статьей 316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 xml:space="preserve">2014, N 14, ст. 1547), и в местностях, районные коэффициенты для которых установлены нормативными правовыми актами, изданными до введения в действие Трудового </w:t>
      </w:r>
      <w:hyperlink r:id="rId22">
        <w:r>
          <w:rPr>
            <w:color w:val="0000FF"/>
          </w:rPr>
          <w:t>кодекса</w:t>
        </w:r>
      </w:hyperlink>
      <w:r>
        <w:t xml:space="preserve"> Российской Федерации, в том числе актами бывшего СССР, в части, не противоречащей Трудовому </w:t>
      </w:r>
      <w:hyperlink r:id="rId23">
        <w:r>
          <w:rPr>
            <w:color w:val="0000FF"/>
          </w:rPr>
          <w:t>кодексу</w:t>
        </w:r>
      </w:hyperlink>
      <w:r>
        <w:t xml:space="preserve"> Российской Федерации;</w:t>
      </w:r>
      <w:proofErr w:type="gramEnd"/>
    </w:p>
    <w:p w:rsidR="00084A60" w:rsidRDefault="00084A60">
      <w:pPr>
        <w:pStyle w:val="ConsPlusNormal"/>
        <w:spacing w:before="220"/>
        <w:ind w:firstLine="540"/>
        <w:jc w:val="both"/>
      </w:pPr>
      <w:r>
        <w:t>РО - резерв на отпуск, который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25"/>
        </w:rPr>
        <w:drawing>
          <wp:inline distT="0" distB="0" distL="0" distR="0">
            <wp:extent cx="1959610" cy="46101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proofErr w:type="gramStart"/>
      <w:r>
        <w:t>СВ</w:t>
      </w:r>
      <w:proofErr w:type="gramEnd"/>
      <w:r>
        <w:t xml:space="preserve"> - страховые взносы, которые устанавливаются в соответствии со </w:t>
      </w:r>
      <w:hyperlink r:id="rId25">
        <w:r>
          <w:rPr>
            <w:color w:val="0000FF"/>
          </w:rPr>
          <w:t>статьей 425</w:t>
        </w:r>
      </w:hyperlink>
      <w:r>
        <w:t xml:space="preserve"> Налогового кодекса Российской Федерации и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24 июля 1998 г. N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N 31, ст. 3803; </w:t>
      </w:r>
      <w:proofErr w:type="gramStart"/>
      <w:r>
        <w:t>2020, N 31, ст. 5027) (далее - Федеральный закон об обязательном социальном страховании) и рассчитываются по формуле:</w:t>
      </w:r>
      <w:proofErr w:type="gramEnd"/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proofErr w:type="gramStart"/>
      <w:r>
        <w:t>СВ</w:t>
      </w:r>
      <w:proofErr w:type="gramEnd"/>
      <w:r>
        <w:t xml:space="preserve"> = (БЗП + Д</w:t>
      </w:r>
      <w:r>
        <w:rPr>
          <w:vertAlign w:val="subscript"/>
        </w:rPr>
        <w:t>н</w:t>
      </w:r>
      <w:r>
        <w:t xml:space="preserve"> + Д</w:t>
      </w:r>
      <w:r>
        <w:rPr>
          <w:vertAlign w:val="subscript"/>
        </w:rPr>
        <w:t>вп</w:t>
      </w:r>
      <w:r>
        <w:t xml:space="preserve"> + Д</w:t>
      </w:r>
      <w:r>
        <w:rPr>
          <w:vertAlign w:val="subscript"/>
        </w:rPr>
        <w:t>рк</w:t>
      </w:r>
      <w:r>
        <w:t xml:space="preserve"> + РО) * Y,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Y - ставка страховых взносов;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U - корректирующий коэффициент, который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 xml:space="preserve">U = </w:t>
      </w:r>
      <w:proofErr w:type="gramStart"/>
      <w:r>
        <w:t>U</w:t>
      </w:r>
      <w:proofErr w:type="gramEnd"/>
      <w:r>
        <w:rPr>
          <w:vertAlign w:val="subscript"/>
        </w:rPr>
        <w:t>б</w:t>
      </w:r>
      <w:r>
        <w:t xml:space="preserve"> + U</w:t>
      </w:r>
      <w:r>
        <w:rPr>
          <w:vertAlign w:val="subscript"/>
        </w:rPr>
        <w:t>д1</w:t>
      </w:r>
      <w:r>
        <w:t xml:space="preserve"> + U</w:t>
      </w:r>
      <w:r>
        <w:rPr>
          <w:vertAlign w:val="subscript"/>
        </w:rPr>
        <w:t>д2</w:t>
      </w:r>
      <w:r>
        <w:t xml:space="preserve"> + U</w:t>
      </w:r>
      <w:r>
        <w:rPr>
          <w:vertAlign w:val="subscript"/>
        </w:rPr>
        <w:t>д3</w:t>
      </w:r>
      <w:r>
        <w:t xml:space="preserve"> + U</w:t>
      </w:r>
      <w:r>
        <w:rPr>
          <w:vertAlign w:val="subscript"/>
        </w:rPr>
        <w:t>д4</w:t>
      </w:r>
      <w:r>
        <w:t xml:space="preserve"> + U</w:t>
      </w:r>
      <w:r>
        <w:rPr>
          <w:vertAlign w:val="subscript"/>
        </w:rPr>
        <w:t>д5</w:t>
      </w:r>
      <w:r>
        <w:t>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lastRenderedPageBreak/>
        <w:t>U</w:t>
      </w:r>
      <w:proofErr w:type="gramEnd"/>
      <w:r>
        <w:rPr>
          <w:vertAlign w:val="subscript"/>
        </w:rPr>
        <w:t>б</w:t>
      </w:r>
      <w:r>
        <w:t xml:space="preserve"> - базовый коэффициент. Определяется в соответствии с таблицей N 1:</w:t>
      </w:r>
    </w:p>
    <w:p w:rsidR="00084A60" w:rsidRDefault="00084A6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8"/>
        <w:gridCol w:w="5252"/>
        <w:gridCol w:w="3149"/>
      </w:tblGrid>
      <w:tr w:rsidR="00084A60">
        <w:tc>
          <w:tcPr>
            <w:tcW w:w="658" w:type="dxa"/>
          </w:tcPr>
          <w:p w:rsidR="00084A60" w:rsidRDefault="00084A6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center"/>
            </w:pPr>
            <w:r>
              <w:t>Базовые коэффициенты</w:t>
            </w:r>
          </w:p>
        </w:tc>
        <w:tc>
          <w:tcPr>
            <w:tcW w:w="3149" w:type="dxa"/>
          </w:tcPr>
          <w:p w:rsidR="00084A60" w:rsidRDefault="00084A60">
            <w:pPr>
              <w:pStyle w:val="ConsPlusNormal"/>
              <w:jc w:val="center"/>
            </w:pPr>
            <w:proofErr w:type="gramStart"/>
            <w:r>
              <w:t>U</w:t>
            </w:r>
            <w:proofErr w:type="gramEnd"/>
            <w:r>
              <w:rPr>
                <w:vertAlign w:val="subscript"/>
              </w:rPr>
              <w:t>б</w:t>
            </w:r>
          </w:p>
        </w:tc>
      </w:tr>
      <w:tr w:rsidR="00084A60">
        <w:tc>
          <w:tcPr>
            <w:tcW w:w="658" w:type="dxa"/>
          </w:tcPr>
          <w:p w:rsidR="00084A60" w:rsidRDefault="00084A6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both"/>
            </w:pPr>
            <w:r>
              <w:t>Пост охраны в составе одного работника с режимом работы 24 часа</w:t>
            </w:r>
          </w:p>
        </w:tc>
        <w:tc>
          <w:tcPr>
            <w:tcW w:w="3149" w:type="dxa"/>
            <w:vAlign w:val="center"/>
          </w:tcPr>
          <w:p w:rsidR="00084A60" w:rsidRDefault="00084A60">
            <w:pPr>
              <w:pStyle w:val="ConsPlusNormal"/>
              <w:jc w:val="center"/>
            </w:pPr>
            <w:r>
              <w:t>1</w:t>
            </w:r>
          </w:p>
        </w:tc>
      </w:tr>
      <w:tr w:rsidR="00084A60">
        <w:tc>
          <w:tcPr>
            <w:tcW w:w="658" w:type="dxa"/>
          </w:tcPr>
          <w:p w:rsidR="00084A60" w:rsidRDefault="00084A6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both"/>
            </w:pPr>
            <w:r>
              <w:t>Пост охраны в составе одного работника с режимом работы 12 часов</w:t>
            </w:r>
          </w:p>
        </w:tc>
        <w:tc>
          <w:tcPr>
            <w:tcW w:w="3149" w:type="dxa"/>
            <w:vAlign w:val="center"/>
          </w:tcPr>
          <w:p w:rsidR="00084A60" w:rsidRDefault="00084A60">
            <w:pPr>
              <w:pStyle w:val="ConsPlusNormal"/>
              <w:jc w:val="center"/>
            </w:pPr>
            <w:r>
              <w:t>1,5</w:t>
            </w:r>
          </w:p>
        </w:tc>
      </w:tr>
      <w:tr w:rsidR="00084A60">
        <w:tc>
          <w:tcPr>
            <w:tcW w:w="658" w:type="dxa"/>
          </w:tcPr>
          <w:p w:rsidR="00084A60" w:rsidRDefault="00084A6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both"/>
            </w:pPr>
            <w:r>
              <w:t>Пост охраны в составе одного работника с режимом работы, отличным от 24 и 12 часов. Не более 24 часов, не менее 3 часов</w:t>
            </w:r>
          </w:p>
        </w:tc>
        <w:tc>
          <w:tcPr>
            <w:tcW w:w="3149" w:type="dxa"/>
            <w:vAlign w:val="bottom"/>
          </w:tcPr>
          <w:p w:rsidR="00084A60" w:rsidRDefault="00084A60">
            <w:pPr>
              <w:pStyle w:val="ConsPlusNormal"/>
              <w:jc w:val="center"/>
            </w:pPr>
            <w:r>
              <w:t>По формуле:</w:t>
            </w:r>
          </w:p>
          <w:p w:rsidR="00084A60" w:rsidRDefault="00084A60">
            <w:pPr>
              <w:pStyle w:val="ConsPlusNormal"/>
              <w:jc w:val="center"/>
            </w:pPr>
            <w:proofErr w:type="gramStart"/>
            <w:r>
              <w:t>U</w:t>
            </w:r>
            <w:proofErr w:type="gramEnd"/>
            <w:r>
              <w:rPr>
                <w:vertAlign w:val="subscript"/>
              </w:rPr>
              <w:t>б</w:t>
            </w:r>
            <w:r>
              <w:t xml:space="preserve"> = 2 - 0,0417 * Количество часов работы поста</w:t>
            </w:r>
          </w:p>
        </w:tc>
      </w:tr>
    </w:tbl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proofErr w:type="gramStart"/>
      <w:r>
        <w:t>U</w:t>
      </w:r>
      <w:proofErr w:type="gramEnd"/>
      <w:r>
        <w:rPr>
          <w:vertAlign w:val="subscript"/>
        </w:rPr>
        <w:t>д</w:t>
      </w:r>
      <w:r>
        <w:t xml:space="preserve"> - дополнительные коэффициенты. Определяются в соответствии с таблицей N 2:</w:t>
      </w:r>
    </w:p>
    <w:p w:rsidR="00084A60" w:rsidRDefault="00084A6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8"/>
        <w:gridCol w:w="5252"/>
        <w:gridCol w:w="3149"/>
      </w:tblGrid>
      <w:tr w:rsidR="00084A60">
        <w:tc>
          <w:tcPr>
            <w:tcW w:w="658" w:type="dxa"/>
            <w:vAlign w:val="bottom"/>
          </w:tcPr>
          <w:p w:rsidR="00084A60" w:rsidRDefault="00084A6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center"/>
            </w:pPr>
            <w:r>
              <w:t>Дополнительные коэффициенты</w:t>
            </w:r>
          </w:p>
        </w:tc>
        <w:tc>
          <w:tcPr>
            <w:tcW w:w="3149" w:type="dxa"/>
          </w:tcPr>
          <w:p w:rsidR="00084A60" w:rsidRDefault="00084A60">
            <w:pPr>
              <w:pStyle w:val="ConsPlusNormal"/>
              <w:jc w:val="center"/>
            </w:pPr>
            <w:proofErr w:type="gramStart"/>
            <w:r>
              <w:t>U</w:t>
            </w:r>
            <w:proofErr w:type="gramEnd"/>
            <w:r>
              <w:rPr>
                <w:vertAlign w:val="subscript"/>
              </w:rPr>
              <w:t>д</w:t>
            </w:r>
          </w:p>
        </w:tc>
      </w:tr>
      <w:tr w:rsidR="00084A60">
        <w:tc>
          <w:tcPr>
            <w:tcW w:w="658" w:type="dxa"/>
            <w:vAlign w:val="bottom"/>
          </w:tcPr>
          <w:p w:rsidR="00084A60" w:rsidRDefault="00084A60">
            <w:pPr>
              <w:pStyle w:val="ConsPlusNormal"/>
              <w:jc w:val="center"/>
            </w:pPr>
            <w:bookmarkStart w:id="7" w:name="P148"/>
            <w:bookmarkEnd w:id="7"/>
            <w:r>
              <w:t>1.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both"/>
            </w:pPr>
            <w:r>
              <w:t>Наличие спецсредств у работника</w:t>
            </w:r>
          </w:p>
        </w:tc>
        <w:tc>
          <w:tcPr>
            <w:tcW w:w="3149" w:type="dxa"/>
            <w:vAlign w:val="bottom"/>
          </w:tcPr>
          <w:p w:rsidR="00084A60" w:rsidRDefault="00084A60">
            <w:pPr>
              <w:pStyle w:val="ConsPlusNormal"/>
              <w:jc w:val="center"/>
            </w:pPr>
            <w:r>
              <w:t>0,05</w:t>
            </w:r>
          </w:p>
        </w:tc>
      </w:tr>
      <w:tr w:rsidR="00084A60">
        <w:tc>
          <w:tcPr>
            <w:tcW w:w="658" w:type="dxa"/>
            <w:vAlign w:val="bottom"/>
          </w:tcPr>
          <w:p w:rsidR="00084A60" w:rsidRDefault="00084A60">
            <w:pPr>
              <w:pStyle w:val="ConsPlusNormal"/>
              <w:jc w:val="center"/>
            </w:pPr>
            <w:bookmarkStart w:id="8" w:name="P151"/>
            <w:bookmarkEnd w:id="8"/>
            <w:r>
              <w:t>2.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both"/>
            </w:pPr>
            <w:r>
              <w:t>Наличие служебного оружия у работника</w:t>
            </w:r>
          </w:p>
        </w:tc>
        <w:tc>
          <w:tcPr>
            <w:tcW w:w="3149" w:type="dxa"/>
            <w:vAlign w:val="bottom"/>
          </w:tcPr>
          <w:p w:rsidR="00084A60" w:rsidRDefault="00084A60">
            <w:pPr>
              <w:pStyle w:val="ConsPlusNormal"/>
              <w:jc w:val="center"/>
            </w:pPr>
            <w:r>
              <w:t>0,2</w:t>
            </w:r>
          </w:p>
        </w:tc>
      </w:tr>
      <w:tr w:rsidR="00084A60">
        <w:tc>
          <w:tcPr>
            <w:tcW w:w="658" w:type="dxa"/>
          </w:tcPr>
          <w:p w:rsidR="00084A60" w:rsidRDefault="00084A6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both"/>
            </w:pPr>
            <w:r>
              <w:t>Обеспечение порядка в местах проведения массовых мероприятий</w:t>
            </w:r>
          </w:p>
        </w:tc>
        <w:tc>
          <w:tcPr>
            <w:tcW w:w="3149" w:type="dxa"/>
            <w:vAlign w:val="center"/>
          </w:tcPr>
          <w:p w:rsidR="00084A60" w:rsidRDefault="00084A60">
            <w:pPr>
              <w:pStyle w:val="ConsPlusNormal"/>
              <w:jc w:val="center"/>
            </w:pPr>
            <w:r>
              <w:t>0,3</w:t>
            </w:r>
          </w:p>
        </w:tc>
      </w:tr>
      <w:tr w:rsidR="00084A60">
        <w:tc>
          <w:tcPr>
            <w:tcW w:w="658" w:type="dxa"/>
          </w:tcPr>
          <w:p w:rsidR="00084A60" w:rsidRDefault="00084A6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both"/>
            </w:pPr>
            <w:r>
              <w:t>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</w:t>
            </w:r>
          </w:p>
        </w:tc>
        <w:tc>
          <w:tcPr>
            <w:tcW w:w="3149" w:type="dxa"/>
            <w:vAlign w:val="center"/>
          </w:tcPr>
          <w:p w:rsidR="00084A60" w:rsidRDefault="00084A60">
            <w:pPr>
              <w:pStyle w:val="ConsPlusNormal"/>
              <w:jc w:val="center"/>
            </w:pPr>
            <w:r>
              <w:t>0,1</w:t>
            </w:r>
          </w:p>
        </w:tc>
      </w:tr>
      <w:tr w:rsidR="00084A60">
        <w:tc>
          <w:tcPr>
            <w:tcW w:w="658" w:type="dxa"/>
          </w:tcPr>
          <w:p w:rsidR="00084A60" w:rsidRDefault="00084A6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252" w:type="dxa"/>
          </w:tcPr>
          <w:p w:rsidR="00084A60" w:rsidRDefault="00084A60">
            <w:pPr>
              <w:pStyle w:val="ConsPlusNormal"/>
              <w:jc w:val="both"/>
            </w:pPr>
            <w:r>
              <w:t>Наличие допуска к государственной тайне работника и режимно-секретного подразделения</w:t>
            </w:r>
          </w:p>
        </w:tc>
        <w:tc>
          <w:tcPr>
            <w:tcW w:w="3149" w:type="dxa"/>
            <w:vAlign w:val="center"/>
          </w:tcPr>
          <w:p w:rsidR="00084A60" w:rsidRDefault="00084A60">
            <w:pPr>
              <w:pStyle w:val="ConsPlusNormal"/>
              <w:jc w:val="center"/>
            </w:pPr>
            <w:r>
              <w:t>0,05</w:t>
            </w:r>
          </w:p>
        </w:tc>
      </w:tr>
      <w:tr w:rsidR="00084A60">
        <w:tc>
          <w:tcPr>
            <w:tcW w:w="9059" w:type="dxa"/>
            <w:gridSpan w:val="3"/>
          </w:tcPr>
          <w:p w:rsidR="00084A60" w:rsidRDefault="00084A60">
            <w:pPr>
              <w:pStyle w:val="ConsPlusNormal"/>
              <w:jc w:val="both"/>
            </w:pPr>
            <w:r>
              <w:t>При этом суммарное значение дополнительных коэффициентов не может превышать 0,35</w:t>
            </w:r>
          </w:p>
        </w:tc>
      </w:tr>
    </w:tbl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 xml:space="preserve">6. В случае закупки заказчиком дополнительных услуг (работ), указанных в </w:t>
      </w:r>
      <w:hyperlink w:anchor="P166">
        <w:r>
          <w:rPr>
            <w:color w:val="0000FF"/>
          </w:rPr>
          <w:t>подпунктах 6.1</w:t>
        </w:r>
      </w:hyperlink>
      <w:r>
        <w:t xml:space="preserve"> - </w:t>
      </w:r>
      <w:hyperlink w:anchor="P182">
        <w:r>
          <w:rPr>
            <w:color w:val="0000FF"/>
          </w:rPr>
          <w:t>6.2 пункта 6</w:t>
        </w:r>
      </w:hyperlink>
      <w:r>
        <w:t xml:space="preserve"> настоящего Порядка, их стоимость рассчитывается для каждой услуги (работы) отдельно в следующем порядке:</w:t>
      </w:r>
    </w:p>
    <w:p w:rsidR="00084A60" w:rsidRDefault="00084A60">
      <w:pPr>
        <w:pStyle w:val="ConsPlusNormal"/>
        <w:spacing w:before="220"/>
        <w:ind w:firstLine="540"/>
        <w:jc w:val="both"/>
      </w:pPr>
      <w:bookmarkStart w:id="9" w:name="P166"/>
      <w:bookmarkEnd w:id="9"/>
      <w:r>
        <w:t>6.1. Стоимость выполнения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 &lt;1&gt;, и (или) принятие соответствующих мер реагирования на их сигнальную информацию, рассчитывается по формуле: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июня 2011 г. N 498 "О некоторых вопросах осуществления частной детективной (сыскной) и частной охранной деятельности" (Собрание законодательства Российской Федерации, 2011, N 26, ст. 3820; 2020, N 52, ст. 8898).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С</w:t>
      </w:r>
      <w:r>
        <w:rPr>
          <w:vertAlign w:val="subscript"/>
        </w:rPr>
        <w:t>ТСО</w:t>
      </w:r>
      <w:r>
        <w:t xml:space="preserve"> = С</w:t>
      </w:r>
      <w:r>
        <w:rPr>
          <w:vertAlign w:val="subscript"/>
        </w:rPr>
        <w:t>Р</w:t>
      </w:r>
      <w:r>
        <w:t xml:space="preserve"> * </w:t>
      </w:r>
      <w:proofErr w:type="gramStart"/>
      <w:r>
        <w:t>К</w:t>
      </w:r>
      <w:r>
        <w:rPr>
          <w:vertAlign w:val="subscript"/>
        </w:rPr>
        <w:t>Р</w:t>
      </w:r>
      <w:proofErr w:type="gramEnd"/>
      <w:r>
        <w:t xml:space="preserve"> + С</w:t>
      </w:r>
      <w:r>
        <w:rPr>
          <w:vertAlign w:val="subscript"/>
        </w:rPr>
        <w:t>П</w:t>
      </w:r>
      <w:r>
        <w:t xml:space="preserve"> * К</w:t>
      </w:r>
      <w:r>
        <w:rPr>
          <w:vertAlign w:val="subscript"/>
        </w:rPr>
        <w:t>П</w:t>
      </w:r>
      <w:r>
        <w:t xml:space="preserve"> + С</w:t>
      </w:r>
      <w:r>
        <w:rPr>
          <w:vertAlign w:val="subscript"/>
        </w:rPr>
        <w:t>ЭО</w:t>
      </w:r>
      <w:r>
        <w:t xml:space="preserve"> * К</w:t>
      </w:r>
      <w:r>
        <w:rPr>
          <w:vertAlign w:val="subscript"/>
        </w:rPr>
        <w:t>ЭО</w:t>
      </w:r>
      <w:r>
        <w:t xml:space="preserve"> + С</w:t>
      </w:r>
      <w:r>
        <w:rPr>
          <w:vertAlign w:val="subscript"/>
        </w:rPr>
        <w:t>М</w:t>
      </w:r>
      <w:r>
        <w:t xml:space="preserve"> * К</w:t>
      </w:r>
      <w:r>
        <w:rPr>
          <w:vertAlign w:val="subscript"/>
        </w:rPr>
        <w:t>М</w:t>
      </w:r>
      <w:r>
        <w:t xml:space="preserve"> + С</w:t>
      </w:r>
      <w:r>
        <w:rPr>
          <w:vertAlign w:val="subscript"/>
        </w:rPr>
        <w:t>О</w:t>
      </w:r>
      <w:r>
        <w:t>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lastRenderedPageBreak/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С</w:t>
      </w:r>
      <w:r>
        <w:rPr>
          <w:vertAlign w:val="subscript"/>
        </w:rPr>
        <w:t>Р</w:t>
      </w:r>
      <w:proofErr w:type="gramEnd"/>
      <w:r>
        <w:t xml:space="preserve"> - услуги по реагированию. Определяются в соответствии с </w:t>
      </w:r>
      <w:hyperlink w:anchor="P189">
        <w:r>
          <w:rPr>
            <w:color w:val="0000FF"/>
          </w:rPr>
          <w:t>пунктом 7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К</w:t>
      </w:r>
      <w:r>
        <w:rPr>
          <w:vertAlign w:val="subscript"/>
        </w:rPr>
        <w:t>Р</w:t>
      </w:r>
      <w:proofErr w:type="gramEnd"/>
      <w:r>
        <w:t xml:space="preserve"> - объем оказания услуг по реагированию, предусмотренный контрактом;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П</w:t>
      </w:r>
      <w:r>
        <w:t xml:space="preserve"> - работы по проектированию. Определяются в соответствии с </w:t>
      </w:r>
      <w:hyperlink w:anchor="P189">
        <w:r>
          <w:rPr>
            <w:color w:val="0000FF"/>
          </w:rPr>
          <w:t>пунктом 7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П</w:t>
      </w:r>
      <w:r>
        <w:t xml:space="preserve"> - объем выполнения работ по проектированию, предусмотренный контрактом;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ЭО</w:t>
      </w:r>
      <w:r>
        <w:t xml:space="preserve"> - услуги по эксплуатационному обслуживанию. Определяются в соответствии с </w:t>
      </w:r>
      <w:hyperlink w:anchor="P189">
        <w:r>
          <w:rPr>
            <w:color w:val="0000FF"/>
          </w:rPr>
          <w:t>пунктом 7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ЭО</w:t>
      </w:r>
      <w:r>
        <w:t xml:space="preserve"> - объем оказания услуг по эксплуатационному обслуживанию, предусмотренный контрактом;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С</w:t>
      </w:r>
      <w:r>
        <w:rPr>
          <w:vertAlign w:val="subscript"/>
        </w:rPr>
        <w:t>М</w:t>
      </w:r>
      <w:proofErr w:type="gramEnd"/>
      <w:r>
        <w:t xml:space="preserve"> - работы по монтажу. Определяются в соответствии с </w:t>
      </w:r>
      <w:hyperlink w:anchor="P189">
        <w:r>
          <w:rPr>
            <w:color w:val="0000FF"/>
          </w:rPr>
          <w:t>пунктом 7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К</w:t>
      </w:r>
      <w:r>
        <w:rPr>
          <w:vertAlign w:val="subscript"/>
        </w:rPr>
        <w:t>М</w:t>
      </w:r>
      <w:proofErr w:type="gramEnd"/>
      <w:r>
        <w:t xml:space="preserve"> - объем выполнения работ по монтажу, предусмотренный контрактом;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С</w:t>
      </w:r>
      <w:r>
        <w:rPr>
          <w:vertAlign w:val="subscript"/>
        </w:rPr>
        <w:t>О</w:t>
      </w:r>
      <w:proofErr w:type="gramEnd"/>
      <w:r>
        <w:t xml:space="preserve"> - цена оборудования технических средств охраны, поставляемого заказчику, в случае если поставка такого оборудования предусмотрена контрактом. Определяется в соответствии с </w:t>
      </w:r>
      <w:hyperlink w:anchor="P189">
        <w:r>
          <w:rPr>
            <w:color w:val="0000FF"/>
          </w:rPr>
          <w:t>пунктом 7</w:t>
        </w:r>
      </w:hyperlink>
      <w:r>
        <w:t xml:space="preserve"> настоящего Порядка без учета НДС.</w:t>
      </w:r>
    </w:p>
    <w:p w:rsidR="00084A60" w:rsidRDefault="00084A60">
      <w:pPr>
        <w:pStyle w:val="ConsPlusNormal"/>
        <w:spacing w:before="220"/>
        <w:ind w:firstLine="540"/>
        <w:jc w:val="both"/>
      </w:pPr>
      <w:bookmarkStart w:id="10" w:name="P182"/>
      <w:bookmarkEnd w:id="10"/>
      <w:r>
        <w:t>6.2. Стоимость оказания услуги по защите жизни и здоровья граждан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С</w:t>
      </w:r>
      <w:r>
        <w:rPr>
          <w:vertAlign w:val="subscript"/>
        </w:rPr>
        <w:t>ЗЖ</w:t>
      </w:r>
      <w:r>
        <w:t xml:space="preserve"> = С</w:t>
      </w:r>
      <w:r>
        <w:rPr>
          <w:vertAlign w:val="subscript"/>
        </w:rPr>
        <w:t>ЕУ</w:t>
      </w:r>
      <w:r>
        <w:t xml:space="preserve"> * К</w:t>
      </w:r>
      <w:r>
        <w:rPr>
          <w:vertAlign w:val="subscript"/>
        </w:rPr>
        <w:t>ЗЖ</w:t>
      </w:r>
      <w:r>
        <w:t>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ЕУ</w:t>
      </w:r>
      <w:r>
        <w:t xml:space="preserve"> - услуги по защите жизни и здоровья граждан. Определяются в соответствии с </w:t>
      </w:r>
      <w:hyperlink w:anchor="P189">
        <w:r>
          <w:rPr>
            <w:color w:val="0000FF"/>
          </w:rPr>
          <w:t>пунктом 7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ЗЖ</w:t>
      </w:r>
      <w:r>
        <w:t xml:space="preserve"> - объем оказания услуг по защите жизни и здоровья граждан, предусмотренный контрактом.</w:t>
      </w:r>
    </w:p>
    <w:p w:rsidR="00084A60" w:rsidRDefault="00084A60">
      <w:pPr>
        <w:pStyle w:val="ConsPlusNormal"/>
        <w:spacing w:before="220"/>
        <w:ind w:firstLine="540"/>
        <w:jc w:val="both"/>
      </w:pPr>
      <w:bookmarkStart w:id="11" w:name="P189"/>
      <w:bookmarkEnd w:id="11"/>
      <w:r>
        <w:t>7. Для целей получения необходимой информации заказчик направляет запросы о предоставлении информации о стоимости охранных услуг не менее чем трем исполнителям, оказывающим услуги, соответствующие предмету закупки, информация о которых имеется в свободном доступе, и осуществляет поиск информации о стоимости охранных услуг, соответствующих предмету закупки, в реестре контрактов, заключенных заказчиками.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При наличии возможности заказчик вправе </w:t>
      </w:r>
      <w:proofErr w:type="gramStart"/>
      <w:r>
        <w:t>разместить запрос</w:t>
      </w:r>
      <w:proofErr w:type="gramEnd"/>
      <w:r>
        <w:t xml:space="preserve"> цен на охранные услуги в единой информационной системе в сфере закупок (далее - единая информационная система).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Запрос о предоставлении информации о стоимости услуг, направляемый потенциальному исполнителю, и (или) запрос цен охранных услуг, размещаемый в единой информационной системе, должен содержать, в том числе: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описание объекта закупки с указанием единиц измерения объема товара, работы, услуги в случае заключения контракта по цене за единицу товара, работы, услуги, адресов оказания охранных услуг;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lastRenderedPageBreak/>
        <w:t>основные условия исполнения контракта, заключаемого по результатам закупки, включая требования к порядку оказания услуги, предполагаемые сроки проведения закупки, сроки оказания услуги, срок действия контракта;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сроки предоставления информации о стоимости услуг;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информацию о том, что проведение указанной процедуры сбора информации не влечет за собой возникновение каких-либо обязательств заказчика;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указание на то, что из ответа на запрос должна однозначно определяться стоимость единицы услуги, в случае если объем подлежащих оказанию услуг невозможно определить и закупка осуществляется по цене за единицу услуги.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8. Расчет цены охранных услуг определяется как среднее арифметическое от стоимости услуг, полученных заказчиком по результатам поиска информации о стоимости услуг, в соответствии с </w:t>
      </w:r>
      <w:hyperlink w:anchor="P189">
        <w:r>
          <w:rPr>
            <w:color w:val="0000FF"/>
          </w:rPr>
          <w:t>пунктом 7</w:t>
        </w:r>
      </w:hyperlink>
      <w:r>
        <w:t xml:space="preserve"> настоящего Порядка.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9. В целях </w:t>
      </w:r>
      <w:proofErr w:type="gramStart"/>
      <w:r>
        <w:t>определения однородности совокупности значений цен</w:t>
      </w:r>
      <w:proofErr w:type="gramEnd"/>
      <w:r>
        <w:t xml:space="preserve"> услуг, полученных в соответствии с </w:t>
      </w:r>
      <w:hyperlink w:anchor="P189">
        <w:r>
          <w:rPr>
            <w:color w:val="0000FF"/>
          </w:rPr>
          <w:t>пунктом 7</w:t>
        </w:r>
      </w:hyperlink>
      <w:r>
        <w:t xml:space="preserve"> настоящего Порядка, необходимо определить коэффициент вариации. Коэффициент вариации цены определяется по следующей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24"/>
        </w:rPr>
        <w:drawing>
          <wp:inline distT="0" distB="0" distL="0" distR="0">
            <wp:extent cx="869950" cy="45085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V - коэффициент вариации </w:t>
      </w:r>
      <w:proofErr w:type="gramStart"/>
      <w:r>
        <w:t>в</w:t>
      </w:r>
      <w:proofErr w:type="gramEnd"/>
      <w:r>
        <w:t xml:space="preserve"> %;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36525" cy="24130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среднеарифметическая цена единицы товара, работы, услуги;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rPr>
          <w:noProof/>
          <w:position w:val="-1"/>
        </w:rPr>
        <w:drawing>
          <wp:inline distT="0" distB="0" distL="0" distR="0">
            <wp:extent cx="167640" cy="15748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среднеквадратичное отклонение,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37"/>
        </w:rPr>
        <w:drawing>
          <wp:inline distT="0" distB="0" distL="0" distR="0">
            <wp:extent cx="1372870" cy="61849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ц</w:t>
      </w:r>
      <w:proofErr w:type="gramStart"/>
      <w:r>
        <w:rPr>
          <w:vertAlign w:val="subscript"/>
        </w:rPr>
        <w:t>i</w:t>
      </w:r>
      <w:proofErr w:type="gramEnd"/>
      <w:r>
        <w:t xml:space="preserve"> - цена услуги, указанная в источнике с номером i;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n - количество значений, используемых в расчете.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Совокупность значений, используемых в расчете, при определении цены услуги считается неоднородной, если коэффициент вариации цены превышает 15%. В случае если коэффициент вариации превышает 15%, необходимо провести дополнительные мероприятия в целях увеличения количества информации о ценах услуг, используемой в расчетах.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Title"/>
        <w:ind w:firstLine="540"/>
        <w:jc w:val="both"/>
        <w:outlineLvl w:val="1"/>
      </w:pPr>
      <w:r>
        <w:t>III. Определение НМЦК при осуществлении закупок услуг юридических лиц с особыми уставными задачами по охране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 xml:space="preserve">10. При закупке охранных услуг для объектов, на которые частная охранная деятельность не распространяется в соответствии с </w:t>
      </w:r>
      <w:hyperlink r:id="rId32">
        <w:r>
          <w:rPr>
            <w:color w:val="0000FF"/>
          </w:rPr>
          <w:t>постановлением</w:t>
        </w:r>
      </w:hyperlink>
      <w:r>
        <w:t xml:space="preserve"> N 587, НМЦК определяется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bookmarkStart w:id="12" w:name="P218"/>
      <w:bookmarkEnd w:id="12"/>
      <w:r>
        <w:t>НМЦК = (С</w:t>
      </w:r>
      <w:r>
        <w:rPr>
          <w:vertAlign w:val="subscript"/>
        </w:rPr>
        <w:t>ВОХР</w:t>
      </w:r>
      <w:r>
        <w:t xml:space="preserve"> + С</w:t>
      </w:r>
      <w:r>
        <w:rPr>
          <w:vertAlign w:val="subscript"/>
        </w:rPr>
        <w:t>ТСО</w:t>
      </w:r>
      <w:r>
        <w:t xml:space="preserve"> + С</w:t>
      </w:r>
      <w:r>
        <w:rPr>
          <w:vertAlign w:val="subscript"/>
        </w:rPr>
        <w:t>ОГТ</w:t>
      </w:r>
      <w:r>
        <w:t xml:space="preserve">) * </w:t>
      </w:r>
      <w:proofErr w:type="gramStart"/>
      <w:r>
        <w:t>I</w:t>
      </w:r>
      <w:proofErr w:type="gramEnd"/>
      <w:r>
        <w:rPr>
          <w:vertAlign w:val="subscript"/>
        </w:rPr>
        <w:t>инфл</w:t>
      </w:r>
      <w:r>
        <w:t xml:space="preserve"> + НДС,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ВОХР</w:t>
      </w:r>
      <w:r>
        <w:t xml:space="preserve"> - стоимость услуг по военизированной охране;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I</w:t>
      </w:r>
      <w:proofErr w:type="gramEnd"/>
      <w:r>
        <w:rPr>
          <w:vertAlign w:val="subscript"/>
        </w:rPr>
        <w:t>инфл</w:t>
      </w:r>
      <w:r>
        <w:t xml:space="preserve"> - индекс потребительских цен на прочие услуги, принимаемый в соответствии с публикуемыми Минэкономразвития России прогнозами социально-экономического развития Российской Федерации &lt;1&gt;.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&lt;1&gt; </w:t>
      </w:r>
      <w:hyperlink r:id="rId33">
        <w:r>
          <w:rPr>
            <w:color w:val="0000FF"/>
          </w:rPr>
          <w:t>Правила</w:t>
        </w:r>
      </w:hyperlink>
      <w:r>
        <w:t xml:space="preserve">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период, утвержденные постановлением Правительства Российской Федерации от 14 ноября 2015 г. N 1234 (Собрание законодательства Российской Федерации, 2015, N 47, ст. 6598; 2019, N 21, ст. 2575).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 xml:space="preserve">В случае если срок действия контракта превышает срок прогноза, индекс потребительских цен для каждого года срока действия контракта, не указанного в прогнозе, принимается </w:t>
      </w:r>
      <w:proofErr w:type="gramStart"/>
      <w:r>
        <w:t>равным</w:t>
      </w:r>
      <w:proofErr w:type="gramEnd"/>
      <w:r>
        <w:t xml:space="preserve"> индексу потребительских цен, указанному для последнего года прогноза.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В случае если расчет НМЦК и начало срока действия контракта приходятся на один год, то для этого года срока действия контракта значение I</w:t>
      </w:r>
      <w:r>
        <w:rPr>
          <w:vertAlign w:val="subscript"/>
        </w:rPr>
        <w:t>инфл</w:t>
      </w:r>
      <w:r>
        <w:t xml:space="preserve"> принимается </w:t>
      </w:r>
      <w:proofErr w:type="gramStart"/>
      <w:r>
        <w:t>равным</w:t>
      </w:r>
      <w:proofErr w:type="gramEnd"/>
      <w:r>
        <w:t xml:space="preserve"> единице.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НДС - налог на добавленную стоимость &lt;2&gt;.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О</w:t>
      </w:r>
      <w:proofErr w:type="gramEnd"/>
      <w:r>
        <w:t xml:space="preserve">пределяется в соответствии со </w:t>
      </w:r>
      <w:hyperlink r:id="rId34">
        <w:r>
          <w:rPr>
            <w:color w:val="0000FF"/>
          </w:rPr>
          <w:t>статьей 164</w:t>
        </w:r>
      </w:hyperlink>
      <w:r>
        <w:t xml:space="preserve"> Налогового кодекса Российской Федерации (Собрание законодательства Российской Федерации, 2000, N 32, ст. 3340; 2020, N 29, ст. 4505).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Показатели С</w:t>
      </w:r>
      <w:r>
        <w:rPr>
          <w:vertAlign w:val="subscript"/>
        </w:rPr>
        <w:t>ТСО</w:t>
      </w:r>
      <w:r>
        <w:t xml:space="preserve"> и С</w:t>
      </w:r>
      <w:r>
        <w:rPr>
          <w:vertAlign w:val="subscript"/>
        </w:rPr>
        <w:t>ОГТ</w:t>
      </w:r>
      <w:r>
        <w:t xml:space="preserve"> включаются в </w:t>
      </w:r>
      <w:hyperlink w:anchor="P218">
        <w:r>
          <w:rPr>
            <w:color w:val="0000FF"/>
          </w:rPr>
          <w:t>формулу</w:t>
        </w:r>
      </w:hyperlink>
      <w:r>
        <w:t xml:space="preserve"> определения НМЦК, предусмотренную настоящим пунктом, в случае наличия потребности заказчика в соответствующей дополнительной услуге, при этом: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ТСО</w:t>
      </w:r>
      <w:r>
        <w:t xml:space="preserve"> - работы по проектированию, монтажу и техническому обслуживанию технических средств охраны, мониторинг состояния объекта охраны, оборудованного действующей системой охраны и безопасности, и (или) принятие соответствующих мер реагирования на их сигнальную информацию, поступающую на пульт централизованного наблюдения;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ОГТ</w:t>
      </w:r>
      <w:r>
        <w:t xml:space="preserve"> - услуги по охране грузов при их транспортировке.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11. Формирование стоимости услуг по военизированной охране (С</w:t>
      </w:r>
      <w:r>
        <w:rPr>
          <w:vertAlign w:val="subscript"/>
        </w:rPr>
        <w:t>ВОХР</w:t>
      </w:r>
      <w:r>
        <w:t>) осуществляется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14"/>
        </w:rPr>
        <w:drawing>
          <wp:inline distT="0" distB="0" distL="0" distR="0">
            <wp:extent cx="1969770" cy="32512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ПЧ</w:t>
      </w:r>
      <w:r>
        <w:t xml:space="preserve"> - стоимость посто-часа;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ПЧ</w:t>
      </w:r>
      <w:r>
        <w:t xml:space="preserve"> - количество посто-часов охраны;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k - идентификатор номера поста по контракту;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n - общее количество требуемых постов по контракту.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lastRenderedPageBreak/>
        <w:t xml:space="preserve">Посто-час, </w:t>
      </w:r>
      <w:proofErr w:type="gramStart"/>
      <w:r>
        <w:t>являющийся</w:t>
      </w:r>
      <w:proofErr w:type="gramEnd"/>
      <w:r>
        <w:t xml:space="preserve"> натуральным измерителем единицы услуги военизированной охраны, определяется как время работы 1 (одного) работника военизированной охраны при оказании услуги в течение 1 (одного) часа.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Стоимость посто-часа (С</w:t>
      </w:r>
      <w:r>
        <w:rPr>
          <w:vertAlign w:val="subscript"/>
        </w:rPr>
        <w:t>ПЧ</w:t>
      </w:r>
      <w:r>
        <w:t>)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С</w:t>
      </w:r>
      <w:r>
        <w:rPr>
          <w:vertAlign w:val="subscript"/>
        </w:rPr>
        <w:t>ПЧ</w:t>
      </w:r>
      <w:r>
        <w:t xml:space="preserve"> = С</w:t>
      </w:r>
      <w:r>
        <w:rPr>
          <w:vertAlign w:val="subscript"/>
        </w:rPr>
        <w:t>КП</w:t>
      </w:r>
      <w:r>
        <w:t xml:space="preserve"> / Среднемесячное количество посто-часов,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КП</w:t>
      </w:r>
      <w:r>
        <w:t xml:space="preserve"> - стоимость круглосуточного поста в месяц.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Среднемесячное количество посто-часов при круглосуточном режиме охраны составляет 730 часов (365 дней * 24 часа в сутки / 12 месяцев), в високосном году - 732 часа (366 дней * 24 часа в сутки / 12 месяцев).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Показатель С</w:t>
      </w:r>
      <w:r>
        <w:rPr>
          <w:vertAlign w:val="subscript"/>
        </w:rPr>
        <w:t>КП</w:t>
      </w:r>
      <w:r>
        <w:t xml:space="preserve"> определяется умножением сумм расходов, необходимых на одного работника военизированной охраны, на численность закрытия круглосуточного поста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С</w:t>
      </w:r>
      <w:r>
        <w:rPr>
          <w:vertAlign w:val="subscript"/>
        </w:rPr>
        <w:t>КП</w:t>
      </w:r>
      <w:r>
        <w:t xml:space="preserve"> = (Р</w:t>
      </w:r>
      <w:r>
        <w:rPr>
          <w:vertAlign w:val="subscript"/>
        </w:rPr>
        <w:t>п</w:t>
      </w:r>
      <w:r>
        <w:t xml:space="preserve"> + Р</w:t>
      </w:r>
      <w:r>
        <w:rPr>
          <w:vertAlign w:val="subscript"/>
        </w:rPr>
        <w:t>к</w:t>
      </w:r>
      <w:r>
        <w:t xml:space="preserve"> + П) * Ч</w:t>
      </w:r>
      <w:r>
        <w:rPr>
          <w:vertAlign w:val="subscript"/>
        </w:rPr>
        <w:t>п</w:t>
      </w:r>
      <w:r>
        <w:t xml:space="preserve"> * G,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п</w:t>
      </w:r>
      <w:r>
        <w:t xml:space="preserve"> - прямые расходы;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к</w:t>
      </w:r>
      <w:r>
        <w:t xml:space="preserve"> - косвенные расходы;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П</w:t>
      </w:r>
      <w:proofErr w:type="gramEnd"/>
      <w:r>
        <w:t xml:space="preserve"> - прибыль;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п</w:t>
      </w:r>
      <w:r>
        <w:t xml:space="preserve"> - численность закрытия поста, определенная с учетом местных климатических условий, региональных нерабочих праздничных дней в соответствии с нормами трудового законодательства Российской Федерации;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G - повышающий коэффициент стоимости круглосуточного поста при наличии дополнительных расходов. Определяется в соответствии с таблицей N 3:</w:t>
      </w:r>
    </w:p>
    <w:p w:rsidR="00084A60" w:rsidRDefault="00084A6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7"/>
        <w:gridCol w:w="7282"/>
        <w:gridCol w:w="1105"/>
      </w:tblGrid>
      <w:tr w:rsidR="00084A60">
        <w:tc>
          <w:tcPr>
            <w:tcW w:w="677" w:type="dxa"/>
          </w:tcPr>
          <w:p w:rsidR="00084A60" w:rsidRDefault="00084A6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282" w:type="dxa"/>
          </w:tcPr>
          <w:p w:rsidR="00084A60" w:rsidRDefault="00084A60">
            <w:pPr>
              <w:pStyle w:val="ConsPlusNormal"/>
              <w:jc w:val="center"/>
            </w:pPr>
            <w:r>
              <w:t>Режим, место и характер работы, оснащенность поста</w:t>
            </w:r>
          </w:p>
        </w:tc>
        <w:tc>
          <w:tcPr>
            <w:tcW w:w="1105" w:type="dxa"/>
          </w:tcPr>
          <w:p w:rsidR="00084A60" w:rsidRDefault="00084A60">
            <w:pPr>
              <w:pStyle w:val="ConsPlusNormal"/>
              <w:jc w:val="center"/>
            </w:pPr>
            <w:r>
              <w:t>G</w:t>
            </w:r>
          </w:p>
        </w:tc>
      </w:tr>
      <w:tr w:rsidR="00084A60">
        <w:tc>
          <w:tcPr>
            <w:tcW w:w="677" w:type="dxa"/>
          </w:tcPr>
          <w:p w:rsidR="00084A60" w:rsidRDefault="00084A6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282" w:type="dxa"/>
          </w:tcPr>
          <w:p w:rsidR="00084A60" w:rsidRDefault="00084A60">
            <w:pPr>
              <w:pStyle w:val="ConsPlusNormal"/>
            </w:pPr>
            <w:r>
              <w:t>Подвижной пост на транспортном средстве исполнителя</w:t>
            </w:r>
          </w:p>
        </w:tc>
        <w:tc>
          <w:tcPr>
            <w:tcW w:w="1105" w:type="dxa"/>
          </w:tcPr>
          <w:p w:rsidR="00084A60" w:rsidRDefault="00084A60">
            <w:pPr>
              <w:pStyle w:val="ConsPlusNormal"/>
              <w:jc w:val="center"/>
            </w:pPr>
            <w:r>
              <w:t>1,5</w:t>
            </w:r>
          </w:p>
        </w:tc>
      </w:tr>
      <w:tr w:rsidR="00084A60">
        <w:tc>
          <w:tcPr>
            <w:tcW w:w="677" w:type="dxa"/>
          </w:tcPr>
          <w:p w:rsidR="00084A60" w:rsidRDefault="00084A6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282" w:type="dxa"/>
          </w:tcPr>
          <w:p w:rsidR="00084A60" w:rsidRDefault="00084A60">
            <w:pPr>
              <w:pStyle w:val="ConsPlusNormal"/>
            </w:pPr>
            <w:r>
              <w:t>Оказание услуг вахтовым методом (в особой форме осуществления трудового процесса вне места постоянного проживания работников организации, при которой невозможно обеспечение их возвращения к месту постоянного проживания)</w:t>
            </w:r>
          </w:p>
        </w:tc>
        <w:tc>
          <w:tcPr>
            <w:tcW w:w="1105" w:type="dxa"/>
          </w:tcPr>
          <w:p w:rsidR="00084A60" w:rsidRDefault="00084A60">
            <w:pPr>
              <w:pStyle w:val="ConsPlusNormal"/>
              <w:jc w:val="center"/>
            </w:pPr>
            <w:r>
              <w:t>1,3</w:t>
            </w:r>
          </w:p>
        </w:tc>
      </w:tr>
    </w:tbl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Расчет прямых расходов на одного работника производится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Р</w:t>
      </w:r>
      <w:r>
        <w:rPr>
          <w:vertAlign w:val="subscript"/>
        </w:rPr>
        <w:t>п</w:t>
      </w:r>
      <w:r>
        <w:t xml:space="preserve"> = ФОТ + </w:t>
      </w:r>
      <w:proofErr w:type="gramStart"/>
      <w:r>
        <w:t>СВ</w:t>
      </w:r>
      <w:proofErr w:type="gramEnd"/>
      <w:r>
        <w:t xml:space="preserve"> + Р</w:t>
      </w:r>
      <w:r>
        <w:rPr>
          <w:vertAlign w:val="subscript"/>
        </w:rPr>
        <w:t>77-фз</w:t>
      </w:r>
      <w:r>
        <w:t xml:space="preserve"> + Р</w:t>
      </w:r>
      <w:r>
        <w:rPr>
          <w:vertAlign w:val="subscript"/>
        </w:rPr>
        <w:t>дп</w:t>
      </w:r>
      <w:r>
        <w:t xml:space="preserve"> / (Ч</w:t>
      </w:r>
      <w:r>
        <w:rPr>
          <w:vertAlign w:val="subscript"/>
        </w:rPr>
        <w:t>п</w:t>
      </w:r>
      <w:r>
        <w:t xml:space="preserve"> *</w:t>
      </w:r>
    </w:p>
    <w:p w:rsidR="00084A60" w:rsidRDefault="00084A60">
      <w:pPr>
        <w:pStyle w:val="ConsPlusNormal"/>
        <w:jc w:val="center"/>
      </w:pPr>
      <w:proofErr w:type="gramStart"/>
      <w:r>
        <w:t>* Количество постов охраны),</w:t>
      </w:r>
      <w:proofErr w:type="gramEnd"/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ФОТ - расходы на оплату труда одного работника в месяц;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СВ</w:t>
      </w:r>
      <w:proofErr w:type="gramEnd"/>
      <w:r>
        <w:t xml:space="preserve"> - страховые взносы, которые устанавливаются в соответствии со </w:t>
      </w:r>
      <w:hyperlink r:id="rId36">
        <w:r>
          <w:rPr>
            <w:color w:val="0000FF"/>
          </w:rPr>
          <w:t>статьей 425</w:t>
        </w:r>
      </w:hyperlink>
      <w:r>
        <w:t xml:space="preserve"> Налогового </w:t>
      </w:r>
      <w:r>
        <w:lastRenderedPageBreak/>
        <w:t xml:space="preserve">кодекса Российской Федерации и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об обязательном социальном страховании;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77-фз</w:t>
      </w:r>
      <w:r>
        <w:t xml:space="preserve"> - расходы на исполнение требований </w:t>
      </w:r>
      <w:hyperlink r:id="rId38">
        <w:r>
          <w:rPr>
            <w:color w:val="0000FF"/>
          </w:rPr>
          <w:t>статьи 6</w:t>
        </w:r>
      </w:hyperlink>
      <w:r>
        <w:t xml:space="preserve"> Федерального закона от 14 апреля 1999 г. N 77-ФЗ "О ведомственной охране" (Собрание законодательства Российской Федерации, 1999, N 16, ст. 1935; 2016, N 27, ст. 4160) (далее - Федеральный закон о ведомственной охране);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дп</w:t>
      </w:r>
      <w:r>
        <w:t xml:space="preserve"> - расходы на дополнительный персонал в месяц.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Расходы на оплату труда одного работника в месяц рассчитываются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ФОТ = (ОТ + Дн + Двп + Дп + Дрк) * U,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ОТ</w:t>
      </w:r>
      <w:proofErr w:type="gramEnd"/>
      <w:r>
        <w:t xml:space="preserve"> - </w:t>
      </w:r>
      <w:proofErr w:type="gramStart"/>
      <w:r>
        <w:t>оплата</w:t>
      </w:r>
      <w:proofErr w:type="gramEnd"/>
      <w:r>
        <w:t xml:space="preserve"> труда. Определяется в размере не менее установленного минимального </w:t>
      </w:r>
      <w:proofErr w:type="gramStart"/>
      <w:r>
        <w:t>размера оплаты труда</w:t>
      </w:r>
      <w:proofErr w:type="gramEnd"/>
      <w:r>
        <w:t xml:space="preserve"> на дату выполнения расчета НМЦК в соответствии со </w:t>
      </w:r>
      <w:hyperlink r:id="rId39">
        <w:r>
          <w:rPr>
            <w:color w:val="0000FF"/>
          </w:rPr>
          <w:t>статьями 133</w:t>
        </w:r>
      </w:hyperlink>
      <w:r>
        <w:t xml:space="preserve">, </w:t>
      </w:r>
      <w:hyperlink r:id="rId40">
        <w:r>
          <w:rPr>
            <w:color w:val="0000FF"/>
          </w:rPr>
          <w:t>133.1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30, ст. 4590) или в рамках реализации </w:t>
      </w:r>
      <w:hyperlink r:id="rId41">
        <w:r>
          <w:rPr>
            <w:color w:val="0000FF"/>
          </w:rPr>
          <w:t>статьи 47</w:t>
        </w:r>
      </w:hyperlink>
      <w:r>
        <w:t xml:space="preserve"> Трудового кодекса Российской Федерации;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Дн - доплата за работу в ночное время, порядок и размер которой установлены Правительством Российской Федерации &lt;1&gt;. Определяется по производственному календарю (для 40-часовой пятидневной рабочей недели) на год, в котором производится расчет НМЦК. Не применяется в случае </w:t>
      </w:r>
      <w:proofErr w:type="gramStart"/>
      <w:r>
        <w:t>отсутствия режима работы поста охраны</w:t>
      </w:r>
      <w:proofErr w:type="gramEnd"/>
      <w:r>
        <w:t xml:space="preserve"> в ночное время;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&lt;1&gt; </w:t>
      </w:r>
      <w:hyperlink r:id="rId4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22 июля 2008 г. N 554 "О минимальном размере повышения оплаты труда за работу в ночное время" (Собрание законодательства Российской Федерации, 2008, N 30, ст. 3640).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 xml:space="preserve">Двп - доплата за работу в выходные и праздничные дни, порядок и размер которой установлены </w:t>
      </w:r>
      <w:hyperlink r:id="rId43">
        <w:r>
          <w:rPr>
            <w:color w:val="0000FF"/>
          </w:rPr>
          <w:t>статьей 153</w:t>
        </w:r>
      </w:hyperlink>
      <w:r>
        <w:t xml:space="preserve"> Трудового кодекса Российской Федерации (Собрание законодательства Российской Федерации, 2002, N 1, ст. 3; 2017, N 25, ст. 3594). Определяется по производственному календарю (для 40-часовой пятидневной рабочей недели) на год, в котором производится расчет НМЦК. Не применяется в случае </w:t>
      </w:r>
      <w:proofErr w:type="gramStart"/>
      <w:r>
        <w:t>отсутствия режима работы поста охраны</w:t>
      </w:r>
      <w:proofErr w:type="gramEnd"/>
      <w:r>
        <w:t xml:space="preserve"> в выходные и праздничные дни;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 xml:space="preserve">Дп - прочие доплаты и надбавки, компенсации, в том числе работникам, занятым на работах с вредными и (или) опасными условиями труда, которые устанавливаются в порядке, предусмотренном </w:t>
      </w:r>
      <w:hyperlink r:id="rId44">
        <w:r>
          <w:rPr>
            <w:color w:val="0000FF"/>
          </w:rPr>
          <w:t>статьями 92</w:t>
        </w:r>
      </w:hyperlink>
      <w:r>
        <w:t xml:space="preserve">, </w:t>
      </w:r>
      <w:hyperlink r:id="rId45">
        <w:r>
          <w:rPr>
            <w:color w:val="0000FF"/>
          </w:rPr>
          <w:t>117</w:t>
        </w:r>
      </w:hyperlink>
      <w:r>
        <w:t xml:space="preserve"> и </w:t>
      </w:r>
      <w:hyperlink r:id="rId46">
        <w:r>
          <w:rPr>
            <w:color w:val="0000FF"/>
          </w:rPr>
          <w:t>147</w:t>
        </w:r>
      </w:hyperlink>
      <w:r>
        <w:t xml:space="preserve"> Трудового кодекса Российской Федерации (Собрание законодательства Российской Федерации, 2002, N 1, ст. 3; 2017, N 27, ст. 3936), а также иными нормативными актами;</w:t>
      </w:r>
      <w:proofErr w:type="gramEnd"/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Дрк - доплата за работу в районах Крайнего Севера и приравненных к ним местностях, порядок и размер которой установлены </w:t>
      </w:r>
      <w:hyperlink r:id="rId47">
        <w:r>
          <w:rPr>
            <w:color w:val="0000FF"/>
          </w:rPr>
          <w:t>статьей 316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 xml:space="preserve">2014, N 14, ст. 1547), и в местностях, районные коэффициенты для которых установлены нормативными правовыми актами, изданными до введения в действие Трудового </w:t>
      </w:r>
      <w:hyperlink r:id="rId48">
        <w:r>
          <w:rPr>
            <w:color w:val="0000FF"/>
          </w:rPr>
          <w:t>кодекса</w:t>
        </w:r>
      </w:hyperlink>
      <w:r>
        <w:t xml:space="preserve"> Российской Федерации, в том числе актами бывшего СССР, в части, не противоречащей Трудовому </w:t>
      </w:r>
      <w:hyperlink r:id="rId49">
        <w:r>
          <w:rPr>
            <w:color w:val="0000FF"/>
          </w:rPr>
          <w:t>кодексу</w:t>
        </w:r>
      </w:hyperlink>
      <w:r>
        <w:t xml:space="preserve"> Российской Федерации;</w:t>
      </w:r>
      <w:proofErr w:type="gramEnd"/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U - корректирующий коэффициент, установленный в </w:t>
      </w:r>
      <w:hyperlink w:anchor="P94">
        <w:r>
          <w:rPr>
            <w:color w:val="0000FF"/>
          </w:rPr>
          <w:t>пункте 5</w:t>
        </w:r>
      </w:hyperlink>
      <w:r>
        <w:t xml:space="preserve"> настоящего Порядка, применяется в случае оказания услуг: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lastRenderedPageBreak/>
        <w:t xml:space="preserve">с использованием специальных средств - в размере, указанном в </w:t>
      </w:r>
      <w:hyperlink w:anchor="P148">
        <w:r>
          <w:rPr>
            <w:color w:val="0000FF"/>
          </w:rPr>
          <w:t>строке 1</w:t>
        </w:r>
      </w:hyperlink>
      <w:r>
        <w:t xml:space="preserve"> таблицы N 2 пункта 5 настоящего Порядка;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с использованием служебного, гражданского оружия - в размере, указанном в </w:t>
      </w:r>
      <w:hyperlink w:anchor="P151">
        <w:r>
          <w:rPr>
            <w:color w:val="0000FF"/>
          </w:rPr>
          <w:t>строке 2</w:t>
        </w:r>
      </w:hyperlink>
      <w:r>
        <w:t xml:space="preserve"> таблицы N 2 пункта 5 настоящего Порядка;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 использованием боевого, ручного, стрелкового оружия - дополнительный коэффициент U в размере 0,3.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Расчет расходов по уплате страховых взносов производится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proofErr w:type="gramStart"/>
      <w:r>
        <w:t>СВ</w:t>
      </w:r>
      <w:proofErr w:type="gramEnd"/>
      <w:r>
        <w:t xml:space="preserve"> = ФОТ * Y,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Y - ставка страховых взносов.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77-фз</w:t>
      </w:r>
      <w:r>
        <w:t xml:space="preserve"> составляет 6,5% от показателя ФОТ. </w:t>
      </w:r>
      <w:proofErr w:type="gramStart"/>
      <w:r>
        <w:t>Показатель Р</w:t>
      </w:r>
      <w:r>
        <w:rPr>
          <w:vertAlign w:val="subscript"/>
        </w:rPr>
        <w:t>77-фз</w:t>
      </w:r>
      <w:r>
        <w:t xml:space="preserve"> учитывается во исполнение требований </w:t>
      </w:r>
      <w:hyperlink r:id="rId50">
        <w:r>
          <w:rPr>
            <w:color w:val="0000FF"/>
          </w:rPr>
          <w:t>статьи 6</w:t>
        </w:r>
      </w:hyperlink>
      <w:r>
        <w:t xml:space="preserve"> Федерального закона о ведомственной охране и предусматривает расходы на обязательное страхование, на медицинские осмотры, на профессиональную подготовку, на подготовку к прохождению периодических проверок на пригодность к действиям в условиях, связанных с применением огнестрельного оружия и специальных средств, на проведение занятий по огневой подготовке, расходы на приобретение специальных средств, оружия, патронов и боеприпасов</w:t>
      </w:r>
      <w:proofErr w:type="gramEnd"/>
      <w:r>
        <w:t xml:space="preserve"> к ним, форменной одежды установленного образца.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В случае привлечения дополнительного персонала в соответствии с требованиями контракта расходы рассчитываются следующим образом.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Расчет расходов в месяц на дополнительный персонал (Р</w:t>
      </w:r>
      <w:r>
        <w:rPr>
          <w:vertAlign w:val="subscript"/>
        </w:rPr>
        <w:t>дп</w:t>
      </w:r>
      <w:r>
        <w:t>) производится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Р</w:t>
      </w:r>
      <w:r>
        <w:rPr>
          <w:vertAlign w:val="subscript"/>
        </w:rPr>
        <w:t>дп</w:t>
      </w:r>
      <w:r>
        <w:t xml:space="preserve"> = ФОТ</w:t>
      </w:r>
      <w:r>
        <w:rPr>
          <w:vertAlign w:val="subscript"/>
        </w:rPr>
        <w:t>дп</w:t>
      </w:r>
      <w:r>
        <w:t xml:space="preserve"> + СВ</w:t>
      </w:r>
      <w:r>
        <w:rPr>
          <w:vertAlign w:val="subscript"/>
        </w:rPr>
        <w:t>дп</w:t>
      </w:r>
      <w:r>
        <w:t xml:space="preserve"> + РО</w:t>
      </w:r>
      <w:r>
        <w:rPr>
          <w:vertAlign w:val="subscript"/>
        </w:rPr>
        <w:t>дп</w:t>
      </w:r>
      <w:r>
        <w:t>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ФОТ</w:t>
      </w:r>
      <w:r>
        <w:rPr>
          <w:vertAlign w:val="subscript"/>
        </w:rPr>
        <w:t>дп</w:t>
      </w:r>
      <w:r>
        <w:t xml:space="preserve"> - расходы на оплату труда одного работника в месяц при привлечении дополнительного персонала;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СВ</w:t>
      </w:r>
      <w:r>
        <w:rPr>
          <w:vertAlign w:val="subscript"/>
        </w:rPr>
        <w:t>дп</w:t>
      </w:r>
      <w:r>
        <w:t xml:space="preserve"> - страховые взносы при привлечении дополнительного персонала;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РО</w:t>
      </w:r>
      <w:r>
        <w:rPr>
          <w:vertAlign w:val="subscript"/>
        </w:rPr>
        <w:t>дп</w:t>
      </w:r>
      <w:r>
        <w:t xml:space="preserve"> - резерв на оплату отпусков, исчисляемый в соответствии со </w:t>
      </w:r>
      <w:hyperlink r:id="rId51">
        <w:r>
          <w:rPr>
            <w:color w:val="0000FF"/>
          </w:rPr>
          <w:t>статьями 114</w:t>
        </w:r>
      </w:hyperlink>
      <w:r>
        <w:t xml:space="preserve"> - </w:t>
      </w:r>
      <w:hyperlink r:id="rId52">
        <w:r>
          <w:rPr>
            <w:color w:val="0000FF"/>
          </w:rPr>
          <w:t>116</w:t>
        </w:r>
      </w:hyperlink>
      <w:r>
        <w:t xml:space="preserve"> Трудового кодекса Российской Федерации (Собрание законодательства Российской Федерации, 2002, N 1, ст. 3; 2006, N 27, ст. 2878), который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РО</w:t>
      </w:r>
      <w:r>
        <w:rPr>
          <w:vertAlign w:val="subscript"/>
        </w:rPr>
        <w:t>дп</w:t>
      </w:r>
      <w:r>
        <w:t xml:space="preserve"> = (ФОТ</w:t>
      </w:r>
      <w:r>
        <w:rPr>
          <w:vertAlign w:val="subscript"/>
        </w:rPr>
        <w:t>дп</w:t>
      </w:r>
      <w:r>
        <w:t xml:space="preserve"> + СВ</w:t>
      </w:r>
      <w:r>
        <w:rPr>
          <w:vertAlign w:val="subscript"/>
        </w:rPr>
        <w:t>дп</w:t>
      </w:r>
      <w:r>
        <w:t>) / 12.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Косвенные расходы рассчитываются в размере 20% от общей суммы всех прямых затрат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Р</w:t>
      </w:r>
      <w:r>
        <w:rPr>
          <w:vertAlign w:val="subscript"/>
        </w:rPr>
        <w:t>к</w:t>
      </w:r>
      <w:r>
        <w:t xml:space="preserve"> = Р</w:t>
      </w:r>
      <w:r>
        <w:rPr>
          <w:vertAlign w:val="subscript"/>
        </w:rPr>
        <w:t>п</w:t>
      </w:r>
      <w:r>
        <w:t xml:space="preserve"> * 20%.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Размер плановой прибыли от оказания услуг охраны объектов определяется на основании итогового показателя рентабельности продукции за предшествующий год по данным ФНС России, в случае отсутствия официальных сведений по указанному показателю принимается равным 5% от итоговой суммы всех расходов и определяется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proofErr w:type="gramStart"/>
      <w:r>
        <w:t>П</w:t>
      </w:r>
      <w:proofErr w:type="gramEnd"/>
      <w:r>
        <w:t xml:space="preserve"> = (Р</w:t>
      </w:r>
      <w:r>
        <w:rPr>
          <w:vertAlign w:val="subscript"/>
        </w:rPr>
        <w:t>к</w:t>
      </w:r>
      <w:r>
        <w:t xml:space="preserve"> + Р</w:t>
      </w:r>
      <w:r>
        <w:rPr>
          <w:vertAlign w:val="subscript"/>
        </w:rPr>
        <w:t>п</w:t>
      </w:r>
      <w:r>
        <w:t>) * Размер плановой прибыли (в %).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 xml:space="preserve">12. В случае закупки заказчиком дополнительных услуг, указанных в </w:t>
      </w:r>
      <w:hyperlink w:anchor="P328">
        <w:r>
          <w:rPr>
            <w:color w:val="0000FF"/>
          </w:rPr>
          <w:t>подпунктах 12.1</w:t>
        </w:r>
      </w:hyperlink>
      <w:r>
        <w:t xml:space="preserve"> - </w:t>
      </w:r>
      <w:hyperlink w:anchor="P341">
        <w:r>
          <w:rPr>
            <w:color w:val="0000FF"/>
          </w:rPr>
          <w:t>12.2 пункта 12</w:t>
        </w:r>
      </w:hyperlink>
      <w:r>
        <w:t xml:space="preserve"> настоящего Порядка, стоимость рассчитывается для каждой услуги отдельно в следующем порядке:</w:t>
      </w:r>
    </w:p>
    <w:p w:rsidR="00084A60" w:rsidRDefault="00084A60">
      <w:pPr>
        <w:pStyle w:val="ConsPlusNormal"/>
        <w:spacing w:before="220"/>
        <w:ind w:firstLine="540"/>
        <w:jc w:val="both"/>
      </w:pPr>
      <w:bookmarkStart w:id="13" w:name="P328"/>
      <w:bookmarkEnd w:id="13"/>
      <w:r>
        <w:t>12.1. Осуществление работ по проектированию, монтажу и техническому обслуживанию технических средств охраны, мониторинг состояния объекта охраны, оборудованного действующей системой охраны и безопасности, и (или) принятие соответствующих мер реагирования на их сигнальную информацию, поступающую на пульт централизованного наблюдения (С</w:t>
      </w:r>
      <w:r>
        <w:rPr>
          <w:vertAlign w:val="subscript"/>
        </w:rPr>
        <w:t>ТСО</w:t>
      </w:r>
      <w:r>
        <w:t>),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С</w:t>
      </w:r>
      <w:r>
        <w:rPr>
          <w:vertAlign w:val="subscript"/>
        </w:rPr>
        <w:t>ТСО</w:t>
      </w:r>
      <w:r>
        <w:t xml:space="preserve"> = С</w:t>
      </w:r>
      <w:r>
        <w:rPr>
          <w:vertAlign w:val="subscript"/>
        </w:rPr>
        <w:t>пм</w:t>
      </w:r>
      <w:r>
        <w:t xml:space="preserve"> + С</w:t>
      </w:r>
      <w:r>
        <w:rPr>
          <w:vertAlign w:val="subscript"/>
        </w:rPr>
        <w:t>то</w:t>
      </w:r>
      <w:r>
        <w:t xml:space="preserve"> * К</w:t>
      </w:r>
      <w:r>
        <w:rPr>
          <w:vertAlign w:val="subscript"/>
        </w:rPr>
        <w:t>то</w:t>
      </w:r>
      <w:r>
        <w:t xml:space="preserve"> + С</w:t>
      </w:r>
      <w:r>
        <w:rPr>
          <w:vertAlign w:val="subscript"/>
        </w:rPr>
        <w:t>мо</w:t>
      </w:r>
      <w:r>
        <w:t xml:space="preserve"> * К</w:t>
      </w:r>
      <w:r>
        <w:rPr>
          <w:vertAlign w:val="subscript"/>
        </w:rPr>
        <w:t>мо</w:t>
      </w:r>
      <w:r>
        <w:t xml:space="preserve"> + С</w:t>
      </w:r>
      <w:r>
        <w:rPr>
          <w:vertAlign w:val="subscript"/>
        </w:rPr>
        <w:t>р</w:t>
      </w:r>
      <w:r>
        <w:t xml:space="preserve"> * </w:t>
      </w:r>
      <w:proofErr w:type="gramStart"/>
      <w:r>
        <w:t>К</w:t>
      </w:r>
      <w:r>
        <w:rPr>
          <w:vertAlign w:val="subscript"/>
        </w:rPr>
        <w:t>р</w:t>
      </w:r>
      <w:proofErr w:type="gramEnd"/>
      <w:r>
        <w:t xml:space="preserve"> + С</w:t>
      </w:r>
      <w:r>
        <w:rPr>
          <w:vertAlign w:val="subscript"/>
        </w:rPr>
        <w:t>а</w:t>
      </w:r>
      <w:r>
        <w:t>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пм</w:t>
      </w:r>
      <w:r>
        <w:t xml:space="preserve"> - работы по проектированию и монтажу. Определяются на основании сметной стоимости монтажных и пуско-наладочных работ с учетом стоимости приборов и оборудования в соответствии с </w:t>
      </w:r>
      <w:hyperlink w:anchor="P355">
        <w:r>
          <w:rPr>
            <w:color w:val="0000FF"/>
          </w:rPr>
          <w:t>пунктом 13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то</w:t>
      </w:r>
      <w:r>
        <w:t xml:space="preserve"> - услуги по техническому обслуживанию. Определяются в соответствии с </w:t>
      </w:r>
      <w:hyperlink w:anchor="P355">
        <w:r>
          <w:rPr>
            <w:color w:val="0000FF"/>
          </w:rPr>
          <w:t>пунктом 13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то</w:t>
      </w:r>
      <w:r>
        <w:t xml:space="preserve"> - объем оказания услуг по техническому обслуживанию, предусмотренный контрактом;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мо</w:t>
      </w:r>
      <w:r>
        <w:t xml:space="preserve"> - услуги мониторинга состояния объекта охраны. Определяются в соответствии с </w:t>
      </w:r>
      <w:hyperlink w:anchor="P355">
        <w:r>
          <w:rPr>
            <w:color w:val="0000FF"/>
          </w:rPr>
          <w:t>пунктом 13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мо</w:t>
      </w:r>
      <w:r>
        <w:t xml:space="preserve"> - количество объектов охраны, на которые предоставляются услуги мониторинга, предусмотренные контрактом;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С</w:t>
      </w:r>
      <w:r>
        <w:rPr>
          <w:vertAlign w:val="subscript"/>
        </w:rPr>
        <w:t>р</w:t>
      </w:r>
      <w:proofErr w:type="gramEnd"/>
      <w:r>
        <w:t xml:space="preserve"> - услуги по реагированию. Определяются в соответствии с </w:t>
      </w:r>
      <w:hyperlink w:anchor="P355">
        <w:r>
          <w:rPr>
            <w:color w:val="0000FF"/>
          </w:rPr>
          <w:t>пунктом 13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К</w:t>
      </w:r>
      <w:r>
        <w:rPr>
          <w:vertAlign w:val="subscript"/>
        </w:rPr>
        <w:t>р</w:t>
      </w:r>
      <w:proofErr w:type="gramEnd"/>
      <w:r>
        <w:t xml:space="preserve"> - количество объектов, на которые предоставляются услуги по реагированию, предусмотренные контрактом;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а</w:t>
      </w:r>
      <w:r>
        <w:t xml:space="preserve"> - арендная плата за предоставление оборудования технических средств охраны во временное пользование, в случае если это предусмотрено контрактом. Определяется в соответствии с </w:t>
      </w:r>
      <w:hyperlink w:anchor="P355">
        <w:r>
          <w:rPr>
            <w:color w:val="0000FF"/>
          </w:rPr>
          <w:t>пунктом 13</w:t>
        </w:r>
      </w:hyperlink>
      <w:r>
        <w:t xml:space="preserve"> настоящего Порядка без учета НДС.</w:t>
      </w:r>
    </w:p>
    <w:p w:rsidR="00084A60" w:rsidRDefault="00084A60">
      <w:pPr>
        <w:pStyle w:val="ConsPlusNormal"/>
        <w:spacing w:before="220"/>
        <w:ind w:firstLine="540"/>
        <w:jc w:val="both"/>
      </w:pPr>
      <w:bookmarkStart w:id="14" w:name="P341"/>
      <w:bookmarkEnd w:id="14"/>
      <w:r>
        <w:t>12.2. Охрана грузов при их транспортировке (С</w:t>
      </w:r>
      <w:r>
        <w:rPr>
          <w:vertAlign w:val="subscript"/>
        </w:rPr>
        <w:t>ОГТ</w:t>
      </w:r>
      <w:r>
        <w:t>)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С</w:t>
      </w:r>
      <w:r>
        <w:rPr>
          <w:vertAlign w:val="subscript"/>
        </w:rPr>
        <w:t>ОГТ</w:t>
      </w:r>
      <w:r>
        <w:t xml:space="preserve"> = (С</w:t>
      </w:r>
      <w:r>
        <w:rPr>
          <w:vertAlign w:val="subscript"/>
        </w:rPr>
        <w:t>чог</w:t>
      </w:r>
      <w:r>
        <w:t xml:space="preserve"> * К</w:t>
      </w:r>
      <w:r>
        <w:rPr>
          <w:vertAlign w:val="subscript"/>
        </w:rPr>
        <w:t>рн</w:t>
      </w:r>
      <w:r>
        <w:t xml:space="preserve"> + </w:t>
      </w:r>
      <w:proofErr w:type="gramStart"/>
      <w:r>
        <w:t>С</w:t>
      </w:r>
      <w:r>
        <w:rPr>
          <w:vertAlign w:val="subscript"/>
        </w:rPr>
        <w:t>тр</w:t>
      </w:r>
      <w:proofErr w:type="gramEnd"/>
      <w:r>
        <w:t xml:space="preserve"> * К</w:t>
      </w:r>
      <w:r>
        <w:rPr>
          <w:vertAlign w:val="subscript"/>
        </w:rPr>
        <w:t>тр</w:t>
      </w:r>
      <w:r>
        <w:t>) * К</w:t>
      </w:r>
      <w:r>
        <w:rPr>
          <w:vertAlign w:val="subscript"/>
        </w:rPr>
        <w:t>чог</w:t>
      </w:r>
      <w:r>
        <w:t>,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чог</w:t>
      </w:r>
      <w:r>
        <w:t xml:space="preserve"> - стоимость одного часа охраны одним работником. Определяется в соответствии с </w:t>
      </w:r>
      <w:hyperlink w:anchor="P355">
        <w:r>
          <w:rPr>
            <w:color w:val="0000FF"/>
          </w:rPr>
          <w:t>пунктом 13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рн</w:t>
      </w:r>
      <w:r>
        <w:t xml:space="preserve"> - количество работников в наряде сопровождения;</w:t>
      </w:r>
    </w:p>
    <w:p w:rsidR="00084A60" w:rsidRDefault="00084A60">
      <w:pPr>
        <w:pStyle w:val="ConsPlusNormal"/>
        <w:spacing w:before="220"/>
        <w:ind w:firstLine="540"/>
        <w:jc w:val="both"/>
      </w:pPr>
      <w:proofErr w:type="gramStart"/>
      <w:r>
        <w:t>С</w:t>
      </w:r>
      <w:r>
        <w:rPr>
          <w:vertAlign w:val="subscript"/>
        </w:rPr>
        <w:t>тр</w:t>
      </w:r>
      <w:proofErr w:type="gramEnd"/>
      <w:r>
        <w:t xml:space="preserve"> - стоимость одного часа использования транспортного средства. Определяется в соответствии с </w:t>
      </w:r>
      <w:hyperlink w:anchor="P355">
        <w:r>
          <w:rPr>
            <w:color w:val="0000FF"/>
          </w:rPr>
          <w:t>пунктом 13</w:t>
        </w:r>
      </w:hyperlink>
      <w:r>
        <w:t xml:space="preserve"> настоящего Порядка без учета НДС;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тр</w:t>
      </w:r>
      <w:r>
        <w:t xml:space="preserve"> - количество задействованных транспортных средств;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lastRenderedPageBreak/>
        <w:t>К</w:t>
      </w:r>
      <w:r>
        <w:rPr>
          <w:vertAlign w:val="subscript"/>
        </w:rPr>
        <w:t>чог</w:t>
      </w:r>
      <w:r>
        <w:t xml:space="preserve"> - количество часов охраны грузов при их транспортировке, но не менее 4 часов в сутки.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В случае использования при транспортировке охраняемого груза автотранспорта заказчика расчет осуществляется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t>С</w:t>
      </w:r>
      <w:r>
        <w:rPr>
          <w:vertAlign w:val="subscript"/>
        </w:rPr>
        <w:t>огт</w:t>
      </w:r>
      <w:r>
        <w:t xml:space="preserve"> = С</w:t>
      </w:r>
      <w:r>
        <w:rPr>
          <w:vertAlign w:val="subscript"/>
        </w:rPr>
        <w:t>чог</w:t>
      </w:r>
      <w:r>
        <w:t xml:space="preserve"> * К</w:t>
      </w:r>
      <w:r>
        <w:rPr>
          <w:vertAlign w:val="subscript"/>
        </w:rPr>
        <w:t>рн</w:t>
      </w:r>
      <w:r>
        <w:t xml:space="preserve"> * К</w:t>
      </w:r>
      <w:r>
        <w:rPr>
          <w:vertAlign w:val="subscript"/>
        </w:rPr>
        <w:t>чог</w:t>
      </w:r>
      <w:r>
        <w:t>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bookmarkStart w:id="15" w:name="P355"/>
      <w:bookmarkEnd w:id="15"/>
      <w:r>
        <w:t>13. Для целей получения необходимой информации заказчик направляет запросы о предоставлении информации о стоимости охранных услуг не менее чем трем исполнителям, оказывающим услуги, соответствующие предмету закупки, информация о которых имеется в свободном доступе, и осуществляет поиск информации о стоимости охранных услуг, соответствующих предмету закупки, в реестре контрактов, заключенных заказчиками.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При наличии возможности заказчик вправе </w:t>
      </w:r>
      <w:proofErr w:type="gramStart"/>
      <w:r>
        <w:t>разместить запрос</w:t>
      </w:r>
      <w:proofErr w:type="gramEnd"/>
      <w:r>
        <w:t xml:space="preserve"> цен на охранные услуги в единой информационной системе.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Запрос о предоставлении информации о стоимости услуг, направляемый потенциальному исполнителю, и (или) запрос цен охранных услуг, размещаемый в единой информационной системе, должен содержать, в том числе: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описание объекта закупки с указанием единиц измерения объема товара, работы, услуги в случае заключения контракта по цене за единицу товара, работы, услуги, адресов оказания охранных услуг;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основные условия исполнения контракта, заключаемого по результатам закупки, включая требования к порядку оказания услуги, предполагаемые сроки проведения закупки, сроки оказания услуги, срок действия контракта;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сроки предоставления информации о стоимости услуг;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информацию о том, что проведение указанной процедуры сбора информации не влечет за собой возникновение каких-либо обязательств заказчика;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указание на то, что из ответа на запрос должна однозначно определяться стоимость единицы услуги, в случае если объем подлежащих оказанию услуг невозможно определить и закупка осуществляется по цене за единицу услуги.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14. Расчет цены услуги военизированной охраны определяется как среднее арифметическое от цен услуг, полученных заказчиком по результатам поиска информации о ценах услуг в соответствии с </w:t>
      </w:r>
      <w:hyperlink w:anchor="P355">
        <w:r>
          <w:rPr>
            <w:color w:val="0000FF"/>
          </w:rPr>
          <w:t>пунктом 13</w:t>
        </w:r>
      </w:hyperlink>
      <w:r>
        <w:t xml:space="preserve"> настоящего Порядка.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15. В целях </w:t>
      </w:r>
      <w:proofErr w:type="gramStart"/>
      <w:r>
        <w:t>определения однородности совокупности значений цен</w:t>
      </w:r>
      <w:proofErr w:type="gramEnd"/>
      <w:r>
        <w:t xml:space="preserve"> услуг, полученных в соответствии с </w:t>
      </w:r>
      <w:hyperlink w:anchor="P355">
        <w:r>
          <w:rPr>
            <w:color w:val="0000FF"/>
          </w:rPr>
          <w:t>пунктом 13</w:t>
        </w:r>
      </w:hyperlink>
      <w:r>
        <w:t xml:space="preserve"> настоящего Порядка, необходимо определить коэффициент вариации. Коэффициент вариации цены определяется по следующей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24"/>
        </w:rPr>
        <w:drawing>
          <wp:inline distT="0" distB="0" distL="0" distR="0">
            <wp:extent cx="869950" cy="45085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 xml:space="preserve">V - коэффициент вариации </w:t>
      </w:r>
      <w:proofErr w:type="gramStart"/>
      <w:r>
        <w:t>в</w:t>
      </w:r>
      <w:proofErr w:type="gramEnd"/>
      <w:r>
        <w:t xml:space="preserve"> %;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36525" cy="241300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среднеарифметическая цена единицы товара, работы, услуги;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rPr>
          <w:noProof/>
          <w:position w:val="-1"/>
        </w:rPr>
        <w:drawing>
          <wp:inline distT="0" distB="0" distL="0" distR="0">
            <wp:extent cx="167640" cy="157480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среднеквадратичное отклонение, рассчитывается по формуле: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center"/>
      </w:pPr>
      <w:r>
        <w:rPr>
          <w:noProof/>
          <w:position w:val="-37"/>
        </w:rPr>
        <w:drawing>
          <wp:inline distT="0" distB="0" distL="0" distR="0">
            <wp:extent cx="1372870" cy="618490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ind w:firstLine="540"/>
        <w:jc w:val="both"/>
      </w:pPr>
      <w:r>
        <w:t>где: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ц</w:t>
      </w:r>
      <w:proofErr w:type="gramStart"/>
      <w:r>
        <w:rPr>
          <w:vertAlign w:val="subscript"/>
        </w:rPr>
        <w:t>i</w:t>
      </w:r>
      <w:proofErr w:type="gramEnd"/>
      <w:r>
        <w:t xml:space="preserve"> - цена услуги, указанная в источнике с номером i;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n - количество значений, используемых в расчете.</w:t>
      </w:r>
    </w:p>
    <w:p w:rsidR="00084A60" w:rsidRDefault="00084A60">
      <w:pPr>
        <w:pStyle w:val="ConsPlusNormal"/>
        <w:spacing w:before="220"/>
        <w:ind w:firstLine="540"/>
        <w:jc w:val="both"/>
      </w:pPr>
      <w:r>
        <w:t>Совокупность значений, используемых в расчете, при определении цены услуги считается неоднородной, если коэффициент вариации цены превышает 15%. В случае если коэффициент вариации превышает 15%, необходимо провести дополнительные мероприятия в целях увеличения количества информации о ценах услуг, используемой в расчетах.</w:t>
      </w: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jc w:val="both"/>
      </w:pPr>
    </w:p>
    <w:p w:rsidR="00084A60" w:rsidRDefault="00084A6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E06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A60"/>
    <w:rsid w:val="00084A60"/>
    <w:rsid w:val="00A8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A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84A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84A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4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A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A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84A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84A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4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A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8B3DB803F3208313CB3D9B7F94A483E3A077C4969579E0C5567008948C586DC687AF9D4EA56AFD693C3BB47AB265CI" TargetMode="External"/><Relationship Id="rId18" Type="http://schemas.openxmlformats.org/officeDocument/2006/relationships/hyperlink" Target="consultantplus://offline/ref=18B3DB803F3208313CB3D9B7F94A483E3B027E4E6E5D9E0C5567008948C586DC687AF9D4EA56AFD693C3BB47AB265CI" TargetMode="External"/><Relationship Id="rId26" Type="http://schemas.openxmlformats.org/officeDocument/2006/relationships/hyperlink" Target="consultantplus://offline/ref=18B3DB803F3208313CB3D9B7F94A483E3B02794D6F569E0C5567008948C586DC687AF9D4EA56AFD693C3BB47AB265CI" TargetMode="External"/><Relationship Id="rId39" Type="http://schemas.openxmlformats.org/officeDocument/2006/relationships/hyperlink" Target="consultantplus://offline/ref=18B3DB803F3208313CB3D9B7F94A483E3B01774F6D539E0C5567008948C586DC7A7AA1D8EF53B2DDCE8CFD12A46B5E0EFFA32FB284662958I" TargetMode="External"/><Relationship Id="rId21" Type="http://schemas.openxmlformats.org/officeDocument/2006/relationships/hyperlink" Target="consultantplus://offline/ref=18B3DB803F3208313CB3D9B7F94A483E3B01774F6D539E0C5567008948C586DC7A7AA1DCE95CE587DE88B446A8745F19E1A831B22852I" TargetMode="External"/><Relationship Id="rId34" Type="http://schemas.openxmlformats.org/officeDocument/2006/relationships/hyperlink" Target="consultantplus://offline/ref=18B3DB803F3208313CB3D9B7F94A483E3B047F4E6A539E0C5567008948C586DC7A7AA1D8EB57B3DF92D6ED16ED3F5211FEB431B99A669E72255AI" TargetMode="External"/><Relationship Id="rId42" Type="http://schemas.openxmlformats.org/officeDocument/2006/relationships/hyperlink" Target="consultantplus://offline/ref=18B3DB803F3208313CB3D9B7F94A483E3908784A665EC3065D3E0C8B4FCAD9D97D6BA1D8EA49B1DF84DFB9452A5FI" TargetMode="External"/><Relationship Id="rId47" Type="http://schemas.openxmlformats.org/officeDocument/2006/relationships/hyperlink" Target="consultantplus://offline/ref=18B3DB803F3208313CB3D9B7F94A483E3B01774F6D539E0C5567008948C586DC7A7AA1DCE95CE587DE88B446A8745F19E1A831B22852I" TargetMode="External"/><Relationship Id="rId50" Type="http://schemas.openxmlformats.org/officeDocument/2006/relationships/hyperlink" Target="consultantplus://offline/ref=18B3DB803F3208313CB3D9B7F94A483E3B037A46675C9E0C5567008948C586DC7A7AA1D8EB57B1D599D6ED16ED3F5211FEB431B99A669E72255AI" TargetMode="External"/><Relationship Id="rId55" Type="http://schemas.openxmlformats.org/officeDocument/2006/relationships/image" Target="media/image13.wmf"/><Relationship Id="rId7" Type="http://schemas.openxmlformats.org/officeDocument/2006/relationships/hyperlink" Target="consultantplus://offline/ref=18B3DB803F3208313CB3D9B7F94A483E3B017A4767519E0C5567008948C586DC687AF9D4EA56AFD693C3BB47AB265C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8B3DB803F3208313CB3D9B7F94A483E3B01774F6D539E0C5567008948C586DC7A7AA1D8EF53B2DDCE8CFD12A46B5E0EFFA32FB284662958I" TargetMode="External"/><Relationship Id="rId29" Type="http://schemas.openxmlformats.org/officeDocument/2006/relationships/image" Target="media/image7.wmf"/><Relationship Id="rId11" Type="http://schemas.openxmlformats.org/officeDocument/2006/relationships/hyperlink" Target="consultantplus://offline/ref=18B3DB803F3208313CB3D9B7F94A483E3B007E4A6C559E0C5567008948C586DC7A7AA1D8EB57B1D79AD6ED16ED3F5211FEB431B99A669E72255AI" TargetMode="External"/><Relationship Id="rId24" Type="http://schemas.openxmlformats.org/officeDocument/2006/relationships/image" Target="media/image5.wmf"/><Relationship Id="rId32" Type="http://schemas.openxmlformats.org/officeDocument/2006/relationships/hyperlink" Target="consultantplus://offline/ref=18B3DB803F3208313CB3D9B7F94A483E3B017A4767519E0C5567008948C586DC687AF9D4EA56AFD693C3BB47AB265CI" TargetMode="External"/><Relationship Id="rId37" Type="http://schemas.openxmlformats.org/officeDocument/2006/relationships/hyperlink" Target="consultantplus://offline/ref=18B3DB803F3208313CB3D9B7F94A483E3B02794D6F569E0C5567008948C586DC687AF9D4EA56AFD693C3BB47AB265CI" TargetMode="External"/><Relationship Id="rId40" Type="http://schemas.openxmlformats.org/officeDocument/2006/relationships/hyperlink" Target="consultantplus://offline/ref=18B3DB803F3208313CB3D9B7F94A483E3B01774F6D539E0C5567008948C586DC7A7AA1D8EF52B1DDCE8CFD12A46B5E0EFFA32FB284662958I" TargetMode="External"/><Relationship Id="rId45" Type="http://schemas.openxmlformats.org/officeDocument/2006/relationships/hyperlink" Target="consultantplus://offline/ref=18B3DB803F3208313CB3D9B7F94A483E3B01774F6D539E0C5567008948C586DC7A7AA1D8EB55B4D49AD6ED16ED3F5211FEB431B99A669E72255AI" TargetMode="External"/><Relationship Id="rId53" Type="http://schemas.openxmlformats.org/officeDocument/2006/relationships/image" Target="media/image11.wmf"/><Relationship Id="rId5" Type="http://schemas.openxmlformats.org/officeDocument/2006/relationships/hyperlink" Target="consultantplus://offline/ref=18B3DB803F3208313CB3D9B7F94A483E3B02774D67559E0C5567008948C586DC7A7AA1D8EB57B1D69FD6ED16ED3F5211FEB431B99A669E72255AI" TargetMode="External"/><Relationship Id="rId19" Type="http://schemas.openxmlformats.org/officeDocument/2006/relationships/hyperlink" Target="consultantplus://offline/ref=18B3DB803F3208313CB3D9B7F94A483E3908784A665EC3065D3E0C8B4FCAD9D97D6BA1D8EA49B1DF84DFB9452A5F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yperlink" Target="consultantplus://offline/ref=18B3DB803F3208313CB3D9B7F94A483E3B037A46665C9E0C5567008948C586DC7A7AA1D8EB57B3D493D6ED16ED3F5211FEB431B99A669E72255AI" TargetMode="External"/><Relationship Id="rId22" Type="http://schemas.openxmlformats.org/officeDocument/2006/relationships/hyperlink" Target="consultantplus://offline/ref=18B3DB803F3208313CB3D9B7F94A483E3B01774F6D539E0C5567008948C586DC687AF9D4EA56AFD693C3BB47AB265CI" TargetMode="External"/><Relationship Id="rId27" Type="http://schemas.openxmlformats.org/officeDocument/2006/relationships/hyperlink" Target="consultantplus://offline/ref=18B3DB803F3208313CB3D9B7F94A483E3A077C4969579E0C5567008948C586DC687AF9D4EA56AFD693C3BB47AB265CI" TargetMode="External"/><Relationship Id="rId30" Type="http://schemas.openxmlformats.org/officeDocument/2006/relationships/image" Target="media/image8.wmf"/><Relationship Id="rId35" Type="http://schemas.openxmlformats.org/officeDocument/2006/relationships/image" Target="media/image10.wmf"/><Relationship Id="rId43" Type="http://schemas.openxmlformats.org/officeDocument/2006/relationships/hyperlink" Target="consultantplus://offline/ref=18B3DB803F3208313CB3D9B7F94A483E3B01774F6D539E0C5567008948C586DC7A7AA1DEEA52BA82CB99EC4AA86B4110F6B433B0862652I" TargetMode="External"/><Relationship Id="rId48" Type="http://schemas.openxmlformats.org/officeDocument/2006/relationships/hyperlink" Target="consultantplus://offline/ref=18B3DB803F3208313CB3D9B7F94A483E3B01774F6D539E0C5567008948C586DC687AF9D4EA56AFD693C3BB47AB265CI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hyperlink" Target="consultantplus://offline/ref=18B3DB803F3208313CB3D9B7F94A483E3B01774F6D539E0C5567008948C586DC7A7AA1D8EB57B9D69AD6ED16ED3F5211FEB431B99A669E72255A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8B3DB803F3208313CB3D9B7F94A483E3B047F4E6A539E0C5567008948C586DC7A7AA1D8EB57B3DF92D6ED16ED3F5211FEB431B99A669E72255AI" TargetMode="External"/><Relationship Id="rId17" Type="http://schemas.openxmlformats.org/officeDocument/2006/relationships/hyperlink" Target="consultantplus://offline/ref=18B3DB803F3208313CB3D9B7F94A483E3B01774F6D539E0C5567008948C586DC7A7AA1DAEB5FBA82CB99EC4AA86B4110F6B433B0862652I" TargetMode="External"/><Relationship Id="rId25" Type="http://schemas.openxmlformats.org/officeDocument/2006/relationships/hyperlink" Target="consultantplus://offline/ref=18B3DB803F3208313CB3D9B7F94A483E3B047F4E6A539E0C5567008948C586DC7A7AA1D8E853B6D69189E803FC675E11E1AA38AE86649C2756I" TargetMode="External"/><Relationship Id="rId33" Type="http://schemas.openxmlformats.org/officeDocument/2006/relationships/hyperlink" Target="consultantplus://offline/ref=18B3DB803F3208313CB3D9B7F94A483E3B007E4A6C559E0C5567008948C586DC7A7AA1D8EB57B1D79AD6ED16ED3F5211FEB431B99A669E72255AI" TargetMode="External"/><Relationship Id="rId38" Type="http://schemas.openxmlformats.org/officeDocument/2006/relationships/hyperlink" Target="consultantplus://offline/ref=18B3DB803F3208313CB3D9B7F94A483E3B037A46675C9E0C5567008948C586DC7A7AA1D8EB57B1D599D6ED16ED3F5211FEB431B99A669E72255AI" TargetMode="External"/><Relationship Id="rId46" Type="http://schemas.openxmlformats.org/officeDocument/2006/relationships/hyperlink" Target="consultantplus://offline/ref=18B3DB803F3208313CB3D9B7F94A483E3B01774F6D539E0C5567008948C586DC7A7AA1D8EB55B4D49DD6ED16ED3F5211FEB431B99A669E72255AI" TargetMode="External"/><Relationship Id="rId20" Type="http://schemas.openxmlformats.org/officeDocument/2006/relationships/hyperlink" Target="consultantplus://offline/ref=18B3DB803F3208313CB3D9B7F94A483E3B01774F6D539E0C5567008948C586DC7A7AA1DEEA52BA82CB99EC4AA86B4110F6B433B0862652I" TargetMode="External"/><Relationship Id="rId41" Type="http://schemas.openxmlformats.org/officeDocument/2006/relationships/hyperlink" Target="consultantplus://offline/ref=18B3DB803F3208313CB3D9B7F94A483E3B01774F6D539E0C5567008948C586DC7A7AA1DAEB5FBA82CB99EC4AA86B4110F6B433B0862652I" TargetMode="External"/><Relationship Id="rId54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18B3DB803F3208313CB3D9B7F94A483E3B047E4667579E0C5567008948C586DC7A7AA1D8EA57B3DDCE8CFD12A46B5E0EFFA32FB284662958I" TargetMode="External"/><Relationship Id="rId15" Type="http://schemas.openxmlformats.org/officeDocument/2006/relationships/image" Target="media/image4.wmf"/><Relationship Id="rId23" Type="http://schemas.openxmlformats.org/officeDocument/2006/relationships/hyperlink" Target="consultantplus://offline/ref=18B3DB803F3208313CB3D9B7F94A483E3B01774F6D539E0C5567008948C586DC687AF9D4EA56AFD693C3BB47AB265CI" TargetMode="External"/><Relationship Id="rId28" Type="http://schemas.openxmlformats.org/officeDocument/2006/relationships/image" Target="media/image6.wmf"/><Relationship Id="rId36" Type="http://schemas.openxmlformats.org/officeDocument/2006/relationships/hyperlink" Target="consultantplus://offline/ref=18B3DB803F3208313CB3D9B7F94A483E3B047F4E6A539E0C5567008948C586DC7A7AA1D8E853B6D69189E803FC675E11E1AA38AE86649C2756I" TargetMode="External"/><Relationship Id="rId49" Type="http://schemas.openxmlformats.org/officeDocument/2006/relationships/hyperlink" Target="consultantplus://offline/ref=18B3DB803F3208313CB3D9B7F94A483E3B01774F6D539E0C5567008948C586DC687AF9D4EA56AFD693C3BB47AB265CI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3.wmf"/><Relationship Id="rId31" Type="http://schemas.openxmlformats.org/officeDocument/2006/relationships/image" Target="media/image9.wmf"/><Relationship Id="rId44" Type="http://schemas.openxmlformats.org/officeDocument/2006/relationships/hyperlink" Target="consultantplus://offline/ref=18B3DB803F3208313CB3D9B7F94A483E3B01774F6D539E0C5567008948C586DC7A7AA1D8EB57B7D193D6ED16ED3F5211FEB431B99A669E72255AI" TargetMode="External"/><Relationship Id="rId52" Type="http://schemas.openxmlformats.org/officeDocument/2006/relationships/hyperlink" Target="consultantplus://offline/ref=18B3DB803F3208313CB3D9B7F94A483E3B01774F6D539E0C5567008948C586DC7A7AA1D8EB57B9D69FD6ED16ED3F5211FEB431B99A669E72255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5850</Words>
  <Characters>33346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2026-09-11T08:57:00Z</dcterms:created>
  <dcterms:modified xsi:type="dcterms:W3CDTF">2026-09-11T08:58:00Z</dcterms:modified>
</cp:coreProperties>
</file>